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PATNA SURAT SEA RESOURCES</w:t>
      </w:r>
    </w:p>
    <w:p>
      <w:pPr>
        <w:pStyle w:val="Title"/>
        <w:jc w:val="center"/>
      </w:pPr>
      <w:r>
        <w:t xml:space="preserve">TECHNICAL ANNEX 3 — DESIGN OF THE RISER AND RETURN LINE</w:t>
      </w:r>
    </w:p>
    <w:p>
      <w:pPr>
        <w:spacing w:after="80"/>
        <w:jc w:val="center"/>
      </w:pPr>
      <w:r>
        <w:rPr>
          <w:b/>
          <w:bCs/>
          <w:color w:val="1B3A6B"/>
        </w:rPr>
        <w:t xml:space="preserve">With the storm record of the Amarena Sea — Application ISAM/APP/EXP/001, PSSR Block C</w:t>
      </w:r>
    </w:p>
    <w:p>
      <w:pPr>
        <w:spacing w:after="80"/>
        <w:jc w:val="center"/>
      </w:pPr>
      <w:r>
        <w:rPr>
          <w:i/>
          <w:iCs/>
          <w:color w:val="555555"/>
        </w:rPr>
        <w:t xml:space="preserve">Annex to PSSR's application, prepared by Petrogan (design) and Glasholm Minerals Group (storm record). Excerpts produced by PSSR under Article 7 of REEF. Wind speeds are given in miles per hour, with knots in brackets. Seasons are counted back from the storm season of Hurricane Yolanda.</w:t>
      </w:r>
    </w:p>
    <w:p>
      <w:pPr>
        <w:pStyle w:val="Heading1"/>
        <w:keepNext/>
      </w:pPr>
      <w:r>
        <w:t xml:space="preserve">PART A — STORM RECORD OF THE AMARENA SEA (GLASHOLM MINERALS GROUP)</w:t>
      </w:r>
    </w:p>
    <w:p>
      <w:pPr>
        <w:spacing w:after="120" w:before="120"/>
      </w:pPr>
      <w:r>
        <w:rPr>
          <w:b/>
          <w:bCs/>
        </w:rPr>
        <w:t xml:space="preserve">A.1 Sources.</w:t>
      </w:r>
      <w:r>
        <w:t xml:space="preserve"> The record covers about 35 storm seasons. It combines the weather observations made during GMG's exploration program in the belt with earlier observations from ships and coastal stations around the Amarena Sea.</w:t>
      </w:r>
    </w:p>
    <w:p>
      <w:pPr>
        <w:pStyle w:val="Heading1"/>
        <w:keepNext/>
      </w:pPr>
      <w:r>
        <w:t xml:space="preserve">A.2 Strongest storms passing within 150 nautical miles of the license area</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54"/>
        <w:gridCol w:w="2413"/>
        <w:gridCol w:w="2217"/>
        <w:gridCol w:w="2676"/>
      </w:tblGrid>
      <w:tr>
        <w:trPr>
          <w:cantSplit/>
          <w:tblHeader/>
        </w:trPr>
        <w:tc>
          <w:tcPr>
            <w:tcW w:type="dxa" w:w="2054"/>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Season</w:t>
            </w:r>
          </w:p>
        </w:tc>
        <w:tc>
          <w:tcPr>
            <w:tcW w:type="dxa" w:w="2413"/>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Category at closest approach</w:t>
            </w:r>
          </w:p>
        </w:tc>
        <w:tc>
          <w:tcPr>
            <w:tcW w:type="dxa" w:w="2217"/>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Maximum sustained wind</w:t>
            </w:r>
          </w:p>
        </w:tc>
        <w:tc>
          <w:tcPr>
            <w:tcW w:type="dxa" w:w="2676"/>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Closest approach to the license area</w:t>
            </w:r>
          </w:p>
        </w:tc>
      </w:tr>
      <w:tr>
        <w:trPr>
          <w:cantSplit/>
          <w:tblHeader w:val="off"/>
        </w:trPr>
        <w:tc>
          <w:tcPr>
            <w:tcW w:type="dxa" w:w="205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34 seasons before</w:t>
            </w:r>
          </w:p>
        </w:tc>
        <w:tc>
          <w:tcPr>
            <w:tcW w:type="dxa" w:w="241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Category 1</w:t>
            </w:r>
          </w:p>
        </w:tc>
        <w:tc>
          <w:tcPr>
            <w:tcW w:type="dxa" w:w="22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85 mph (75 knots)</w:t>
            </w:r>
          </w:p>
        </w:tc>
        <w:tc>
          <w:tcPr>
            <w:tcW w:type="dxa" w:w="2676"/>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90 nm</w:t>
            </w:r>
          </w:p>
        </w:tc>
      </w:tr>
      <w:tr>
        <w:trPr>
          <w:cantSplit/>
          <w:tblHeader w:val="off"/>
        </w:trPr>
        <w:tc>
          <w:tcPr>
            <w:tcW w:type="dxa" w:w="205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31 seasons before</w:t>
            </w:r>
          </w:p>
        </w:tc>
        <w:tc>
          <w:tcPr>
            <w:tcW w:type="dxa" w:w="241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Category 2</w:t>
            </w:r>
          </w:p>
        </w:tc>
        <w:tc>
          <w:tcPr>
            <w:tcW w:type="dxa" w:w="22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100 mph (85 knots)</w:t>
            </w:r>
          </w:p>
        </w:tc>
        <w:tc>
          <w:tcPr>
            <w:tcW w:type="dxa" w:w="2676"/>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120 nm</w:t>
            </w:r>
          </w:p>
        </w:tc>
      </w:tr>
      <w:tr>
        <w:trPr>
          <w:cantSplit/>
          <w:tblHeader w:val="off"/>
        </w:trPr>
        <w:tc>
          <w:tcPr>
            <w:tcW w:type="dxa" w:w="205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27 seasons before</w:t>
            </w:r>
          </w:p>
        </w:tc>
        <w:tc>
          <w:tcPr>
            <w:tcW w:type="dxa" w:w="241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Category 1</w:t>
            </w:r>
          </w:p>
        </w:tc>
        <w:tc>
          <w:tcPr>
            <w:tcW w:type="dxa" w:w="22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90 mph (80 knots)</w:t>
            </w:r>
          </w:p>
        </w:tc>
        <w:tc>
          <w:tcPr>
            <w:tcW w:type="dxa" w:w="2676"/>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60 nm</w:t>
            </w:r>
          </w:p>
        </w:tc>
      </w:tr>
      <w:tr>
        <w:trPr>
          <w:cantSplit/>
          <w:tblHeader w:val="off"/>
        </w:trPr>
        <w:tc>
          <w:tcPr>
            <w:tcW w:type="dxa" w:w="205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22 seasons before</w:t>
            </w:r>
          </w:p>
        </w:tc>
        <w:tc>
          <w:tcPr>
            <w:tcW w:type="dxa" w:w="241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Category 3</w:t>
            </w:r>
          </w:p>
        </w:tc>
        <w:tc>
          <w:tcPr>
            <w:tcW w:type="dxa" w:w="22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125 mph (110 knots)</w:t>
            </w:r>
          </w:p>
        </w:tc>
        <w:tc>
          <w:tcPr>
            <w:tcW w:type="dxa" w:w="2676"/>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70 nm</w:t>
            </w:r>
          </w:p>
        </w:tc>
      </w:tr>
      <w:tr>
        <w:trPr>
          <w:cantSplit/>
          <w:tblHeader w:val="off"/>
        </w:trPr>
        <w:tc>
          <w:tcPr>
            <w:tcW w:type="dxa" w:w="205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18 seasons before</w:t>
            </w:r>
          </w:p>
        </w:tc>
        <w:tc>
          <w:tcPr>
            <w:tcW w:type="dxa" w:w="241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Category 2</w:t>
            </w:r>
          </w:p>
        </w:tc>
        <w:tc>
          <w:tcPr>
            <w:tcW w:type="dxa" w:w="22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105 mph (90 knots)</w:t>
            </w:r>
          </w:p>
        </w:tc>
        <w:tc>
          <w:tcPr>
            <w:tcW w:type="dxa" w:w="2676"/>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100 nm</w:t>
            </w:r>
          </w:p>
        </w:tc>
      </w:tr>
      <w:tr>
        <w:trPr>
          <w:cantSplit/>
          <w:tblHeader w:val="off"/>
        </w:trPr>
        <w:tc>
          <w:tcPr>
            <w:tcW w:type="dxa" w:w="205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15 seasons before</w:t>
            </w:r>
          </w:p>
        </w:tc>
        <w:tc>
          <w:tcPr>
            <w:tcW w:type="dxa" w:w="241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Category 1</w:t>
            </w:r>
          </w:p>
        </w:tc>
        <w:tc>
          <w:tcPr>
            <w:tcW w:type="dxa" w:w="22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80 mph (70 knots)</w:t>
            </w:r>
          </w:p>
        </w:tc>
        <w:tc>
          <w:tcPr>
            <w:tcW w:type="dxa" w:w="2676"/>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40 nm</w:t>
            </w:r>
          </w:p>
        </w:tc>
      </w:tr>
      <w:tr>
        <w:trPr>
          <w:cantSplit/>
          <w:tblHeader w:val="off"/>
        </w:trPr>
        <w:tc>
          <w:tcPr>
            <w:tcW w:type="dxa" w:w="205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11 seasons before</w:t>
            </w:r>
          </w:p>
        </w:tc>
        <w:tc>
          <w:tcPr>
            <w:tcW w:type="dxa" w:w="241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Category 2</w:t>
            </w:r>
          </w:p>
        </w:tc>
        <w:tc>
          <w:tcPr>
            <w:tcW w:type="dxa" w:w="22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100 mph (85 knots)</w:t>
            </w:r>
          </w:p>
        </w:tc>
        <w:tc>
          <w:tcPr>
            <w:tcW w:type="dxa" w:w="2676"/>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140 nm</w:t>
            </w:r>
          </w:p>
        </w:tc>
      </w:tr>
      <w:tr>
        <w:trPr>
          <w:cantSplit/>
          <w:tblHeader w:val="off"/>
        </w:trPr>
        <w:tc>
          <w:tcPr>
            <w:tcW w:type="dxa" w:w="205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8 seasons before</w:t>
            </w:r>
          </w:p>
        </w:tc>
        <w:tc>
          <w:tcPr>
            <w:tcW w:type="dxa" w:w="241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Category 1</w:t>
            </w:r>
          </w:p>
        </w:tc>
        <w:tc>
          <w:tcPr>
            <w:tcW w:type="dxa" w:w="22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90 mph (80 knots)</w:t>
            </w:r>
          </w:p>
        </w:tc>
        <w:tc>
          <w:tcPr>
            <w:tcW w:type="dxa" w:w="2676"/>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110 nm</w:t>
            </w:r>
          </w:p>
        </w:tc>
      </w:tr>
      <w:tr>
        <w:trPr>
          <w:cantSplit/>
          <w:tblHeader w:val="off"/>
        </w:trPr>
        <w:tc>
          <w:tcPr>
            <w:tcW w:type="dxa" w:w="205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5 seasons before</w:t>
            </w:r>
          </w:p>
        </w:tc>
        <w:tc>
          <w:tcPr>
            <w:tcW w:type="dxa" w:w="241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Category 3</w:t>
            </w:r>
          </w:p>
        </w:tc>
        <w:tc>
          <w:tcPr>
            <w:tcW w:type="dxa" w:w="22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120 mph (105 knots)</w:t>
            </w:r>
          </w:p>
        </w:tc>
        <w:tc>
          <w:tcPr>
            <w:tcW w:type="dxa" w:w="2676"/>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80 nm</w:t>
            </w:r>
          </w:p>
        </w:tc>
      </w:tr>
      <w:tr>
        <w:trPr>
          <w:cantSplit/>
          <w:tblHeader w:val="off"/>
        </w:trPr>
        <w:tc>
          <w:tcPr>
            <w:tcW w:type="dxa" w:w="205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4 seasons before</w:t>
            </w:r>
          </w:p>
        </w:tc>
        <w:tc>
          <w:tcPr>
            <w:tcW w:type="dxa" w:w="241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Category 3</w:t>
            </w:r>
          </w:p>
        </w:tc>
        <w:tc>
          <w:tcPr>
            <w:tcW w:type="dxa" w:w="221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122 mph (106 knots)</w:t>
            </w:r>
          </w:p>
        </w:tc>
        <w:tc>
          <w:tcPr>
            <w:tcW w:type="dxa" w:w="2676"/>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130 nm</w:t>
            </w:r>
          </w:p>
        </w:tc>
      </w:tr>
    </w:tbl>
    <w:p>
      <w:pPr>
        <w:spacing w:after="120" w:before="120"/>
      </w:pPr>
      <w:r>
        <w:rPr>
          <w:b/>
          <w:bCs/>
        </w:rPr>
        <w:t xml:space="preserve">A.3 Most severe storm in the record.</w:t>
      </w:r>
      <w:r>
        <w:t xml:space="preserve"> The most severe storm in the record passed about 70 nautical miles from the license area 22 seasons before, as a Category 3 hurricane with maximum sustained winds of about 125 mph (110 knots). Significant wave heights in the license area reached about 10 meters.</w:t>
      </w:r>
    </w:p>
    <w:p>
      <w:pPr>
        <w:spacing w:after="120" w:before="120"/>
      </w:pPr>
      <w:r>
        <w:rPr>
          <w:b/>
          <w:bCs/>
        </w:rPr>
        <w:t xml:space="preserve">A.4 Note on the record.</w:t>
      </w:r>
      <w:r>
        <w:t xml:space="preserve"> The most recent seasons include two storms close to the record. Observations in the earlier part of the record are less complete than in the years of GMG's exploration program. The record is too short to establish whether storms in the Amarena Sea are becoming stronger.</w:t>
      </w:r>
    </w:p>
    <w:p>
      <w:pPr>
        <w:pStyle w:val="Heading1"/>
        <w:keepNext/>
      </w:pPr>
      <w:r>
        <w:t xml:space="preserve">PART B — DESIGN BASIS OF THE RISER AND RETURN LINE (PETROGAN)</w:t>
      </w:r>
    </w:p>
    <w:p>
      <w:pPr>
        <w:spacing w:after="120" w:before="120"/>
      </w:pPr>
      <w:r>
        <w:rPr>
          <w:b/>
          <w:bCs/>
        </w:rPr>
        <w:t xml:space="preserve">B.1 Design storm.</w:t>
      </w:r>
      <w:r>
        <w:t xml:space="preserve"> The riser and the return line are designed to withstand the most severe storm in the historical record of the Amarena Sea, as established in Part A: maximum sustained winds of about 125 mph (110 knots) and significant wave heights of about 10 meters at the license area.</w:t>
      </w:r>
    </w:p>
    <w:p>
      <w:pPr>
        <w:spacing w:after="120" w:before="120"/>
      </w:pPr>
      <w:r>
        <w:rPr>
          <w:b/>
          <w:bCs/>
        </w:rPr>
        <w:t xml:space="preserve">B.2 Standards.</w:t>
      </w:r>
      <w:r>
        <w:t xml:space="preserve"> The design follows proven offshore oil-industry practice for risers and pipelines operated from floating vessels. Safety margins are applied to the design loads in accordance with that practice.</w:t>
      </w:r>
    </w:p>
    <w:p>
      <w:pPr>
        <w:spacing w:after="120" w:before="120"/>
      </w:pPr>
      <w:r>
        <w:rPr>
          <w:b/>
          <w:bCs/>
        </w:rPr>
        <w:t xml:space="preserve">B.3 Components.</w:t>
      </w:r>
      <w:r>
        <w:t xml:space="preserve"> The design covers the riser, its couplings and shutdown valves, the return line and its couplings, and their connections to the </w:t>
      </w:r>
      <w:r>
        <w:rPr>
          <w:i/>
          <w:iCs/>
        </w:rPr>
        <w:t xml:space="preserve">Green Dawn</w:t>
      </w:r>
      <w:r>
        <w:t xml:space="preserve">. The upper sections of the riser and the return line, which carry the greatest loads from the motion of the vessel in heavy seas, are fitted with strengthened couplings.</w:t>
      </w:r>
    </w:p>
    <w:p>
      <w:pPr>
        <w:spacing w:after="120" w:before="120"/>
      </w:pPr>
      <w:r>
        <w:rPr>
          <w:b/>
          <w:bCs/>
        </w:rPr>
        <w:t xml:space="preserve">B.4 Operations in severe weather.</w:t>
      </w:r>
      <w:r>
        <w:t xml:space="preserve"> In severe weather, the riser and the return line are protected by the procedures of the emergency response plan: suspension of lifting and discharges, securing of the riser, and, where a hurricane is forecast to pass within 100 nautical miles, disconnection and recovery of the riser.</w:t>
      </w:r>
    </w:p>
    <w:p>
      <w:pPr>
        <w:spacing w:after="120" w:before="120"/>
      </w:pPr>
      <w:r>
        <w:rPr>
          <w:b/>
          <w:bCs/>
        </w:rPr>
        <w:t xml:space="preserve">B.5 Review.</w:t>
      </w:r>
      <w:r>
        <w:t xml:space="preserve"> The design basis will be reviewed if standards for the design of risers and return lines are adopted by the Authority under Regulation 14 of the DEEP Regulations.</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t xml:space="preserve">BT Technical Annex 3 - Design and Storm Record — page </w:t>
    </w:r>
    <w:r>
      <w:rPr>
        <w:color w:val="555555"/>
        <w:sz w:val="18"/>
        <w:szCs w:val="18"/>
      </w:rPr>
      <w:fldChar w:fldCharType="begin"/>
      <w:instrText xml:space="preserve">PAGE</w:instrText>
      <w:fldChar w:fldCharType="separate"/>
      <w:fldChar w:fldCharType="end"/>
    </w:r>
    <w:r>
      <w:rPr>
        <w:color w:val="555555"/>
        <w:sz w:val="18"/>
        <w:szCs w:val="18"/>
      </w:rPr>
      <w:t xml:space="preserve"> of </w:t>
    </w:r>
    <w:r>
      <w:rPr>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lang w:val="en-US"/>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before="120"/>
    </w:pPr>
    <w:rPr>
      <w:rFonts w:ascii="Arial" w:cs="Arial" w:eastAsia="Arial" w:hAnsi="Arial"/>
      <w:b/>
      <w:bCs/>
      <w:color w:val="1B3A6B"/>
      <w:sz w:val="36"/>
      <w:szCs w:val="36"/>
    </w:rPr>
  </w:style>
  <w:style w:type="paragraph" w:styleId="Heading1">
    <w:name w:val="Heading 1"/>
    <w:basedOn w:val="Normal"/>
    <w:next w:val="Normal"/>
    <w:qFormat/>
    <w:pPr>
      <w:spacing w:after="120" w:before="280"/>
      <w:outlineLvl w:val="0"/>
    </w:pPr>
    <w:rPr>
      <w:rFonts w:ascii="Arial" w:cs="Arial" w:eastAsia="Arial" w:hAnsi="Arial"/>
      <w:b/>
      <w:bCs/>
      <w:color w:val="1B3A6B"/>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 Technical Annex 3 - Design and Storm Record</dc:title>
  <dc:subject>Trial 2 — The Black Tide — Trial Record</dc:subject>
  <dc:creator>POLS 369 Mock Trial</dc:creator>
  <dc:description>BT Technical Annex 3 - Design and Storm Record</dc:description>
  <cp:lastModifiedBy>POLS 369 Mock Trial</cp:lastModifiedBy>
  <cp:revision>1</cp:revision>
  <dcterms:created xsi:type="dcterms:W3CDTF">2026-11-02T15:41:50.506Z</dcterms:created>
  <dcterms:modified xsi:type="dcterms:W3CDTF">2026-11-02T15:41:50.507Z</dcterms:modified>
</cp:coreProperties>
</file>

<file path=docProps/custom.xml><?xml version="1.0" encoding="utf-8"?>
<Properties xmlns="http://schemas.openxmlformats.org/officeDocument/2006/custom-properties" xmlns:vt="http://schemas.openxmlformats.org/officeDocument/2006/docPropsVTypes"/>
</file>