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INTERNATIONAL SEABED AUTHORITY OF MIR</w:t>
      </w:r>
    </w:p>
    <w:p>
      <w:pPr>
        <w:spacing w:after="80"/>
        <w:jc w:val="center"/>
      </w:pPr>
      <w:r>
        <w:rPr>
          <w:b/>
          <w:bCs/>
          <w:color w:val="1B3A6B"/>
        </w:rPr>
        <w:t xml:space="preserve">ASSEMBLY</w:t>
      </w:r>
    </w:p>
    <w:p>
      <w:pPr>
        <w:pStyle w:val="Title"/>
        <w:jc w:val="center"/>
      </w:pPr>
      <w:r>
        <w:t xml:space="preserve">ANNUAL REPORT OF THE SECRETARY-GENERAL</w:t>
      </w:r>
    </w:p>
    <w:p>
      <w:pPr>
        <w:spacing w:after="80"/>
        <w:jc w:val="center"/>
      </w:pPr>
      <w:r>
        <w:rPr>
          <w:b/>
          <w:bCs/>
          <w:color w:val="1B3A6B"/>
        </w:rPr>
        <w:t xml:space="preserve">ISAM/A/REP/SG — Second Year of Commercial Production</w:t>
      </w:r>
    </w:p>
    <w:p>
      <w:pPr>
        <w:spacing w:after="120"/>
        <w:jc w:val="center"/>
      </w:pPr>
      <w:r>
        <w:rPr>
          <w:i/>
          <w:iCs/>
        </w:rPr>
        <w:t xml:space="preserve">Excerpt. Report of the Secretary-General to the Assembly on the work of the Authority during the second year of commercial production in PSSR Block C. Earlier chapters are omitted.</w:t>
      </w:r>
    </w:p>
    <w:p>
      <w:pPr>
        <w:pStyle w:val="Heading1"/>
      </w:pPr>
      <w:r>
        <w:t xml:space="preserve">CHAPTER 6 — FINANCES OF THE AUTHORITY</w:t>
      </w:r>
    </w:p>
    <w:p>
      <w:pPr>
        <w:spacing w:after="160" w:before="0"/>
      </w:pPr>
      <w:r>
        <w:rPr>
          <w:b/>
          <w:bCs/>
        </w:rPr>
        <w:t xml:space="preserve">6.1</w:t>
      </w:r>
      <w:r>
        <w:t xml:space="preserve"> The year under review was the second year of commercial production under the Authority's first and only commercial license, held by Patna Surat Sea Resources (PSSR) for PSSR Block C.</w:t>
      </w:r>
    </w:p>
    <w:p>
      <w:pPr>
        <w:spacing w:after="160" w:before="0"/>
      </w:pPr>
      <w:r>
        <w:rPr>
          <w:b/>
          <w:bCs/>
        </w:rPr>
        <w:t xml:space="preserve">6.2</w:t>
      </w:r>
      <w:r>
        <w:t xml:space="preserve"> Under Article 9(2) of ANCHOR, royalties remaining after the costs of administering activities in the Trench and the belt are held in the special account, separate from the administrative budget, until the Assembly adopts the criteria for sharing them equitably.</w:t>
      </w:r>
    </w:p>
    <w:p>
      <w:pPr>
        <w:pStyle w:val="Heading2"/>
      </w:pPr>
      <w:r>
        <w:t xml:space="preserve">Table 6.1 — Income of the Authority, year under review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28"/>
        <w:gridCol w:w="3032"/>
      </w:tblGrid>
      <w:tr>
        <w:trPr>
          <w:cantSplit/>
          <w:tblHeader/>
        </w:trPr>
        <w:tc>
          <w:tcPr>
            <w:tcW w:type="dxa" w:w="6328"/>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Source of income</w:t>
            </w:r>
          </w:p>
        </w:tc>
        <w:tc>
          <w:tcPr>
            <w:tcW w:type="dxa" w:w="3032"/>
            <w:tcBorders>
              <w:top w:val="single" w:color="8A9AA8" w:sz="4"/>
              <w:left w:val="single" w:color="8A9AA8" w:sz="4"/>
              <w:bottom w:val="single" w:color="8A9AA8" w:sz="4"/>
              <w:right w:val="single" w:color="8A9AA8" w:sz="4"/>
            </w:tcBorders>
            <w:shd w:fill="1B3A6B" w:color="auto" w:val="clear"/>
            <w:tcMar>
              <w:top w:type="dxa" w:w="60"/>
              <w:left w:type="dxa" w:w="100"/>
              <w:bottom w:type="dxa" w:w="60"/>
              <w:right w:type="dxa" w:w="100"/>
            </w:tcMar>
          </w:tcPr>
          <w:p>
            <w:r>
              <w:rPr>
                <w:b/>
                <w:bCs/>
                <w:color w:val="FFFFFF"/>
              </w:rPr>
              <w:t xml:space="preserve">Share of income (percent)</w:t>
            </w:r>
          </w:p>
        </w:tc>
      </w:tr>
      <w:tr>
        <w:trPr>
          <w:cantSplit/>
          <w:tblHeader w:val="off"/>
        </w:trPr>
        <w:tc>
          <w:tcPr>
            <w:tcW w:type="dxa" w:w="632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Assessed contributions of members</w:t>
            </w:r>
          </w:p>
        </w:tc>
        <w:tc>
          <w:tcPr>
            <w:tcW w:type="dxa" w:w="303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30</w:t>
            </w:r>
          </w:p>
        </w:tc>
      </w:tr>
      <w:tr>
        <w:trPr>
          <w:cantSplit/>
          <w:tblHeader w:val="off"/>
        </w:trPr>
        <w:tc>
          <w:tcPr>
            <w:tcW w:type="dxa" w:w="632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Annual fee, exploitation license (PSSR Block C)</w:t>
            </w:r>
          </w:p>
        </w:tc>
        <w:tc>
          <w:tcPr>
            <w:tcW w:type="dxa" w:w="303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25</w:t>
            </w:r>
          </w:p>
        </w:tc>
      </w:tr>
      <w:tr>
        <w:trPr>
          <w:cantSplit/>
          <w:tblHeader w:val="off"/>
        </w:trPr>
        <w:tc>
          <w:tcPr>
            <w:tcW w:type="dxa" w:w="632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Royalties applied to the costs of administration (ANCHOR Article 9(2))</w:t>
            </w:r>
          </w:p>
        </w:tc>
        <w:tc>
          <w:tcPr>
            <w:tcW w:type="dxa" w:w="303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40</w:t>
            </w:r>
          </w:p>
        </w:tc>
      </w:tr>
      <w:tr>
        <w:trPr>
          <w:cantSplit/>
          <w:tblHeader w:val="off"/>
        </w:trPr>
        <w:tc>
          <w:tcPr>
            <w:tcW w:type="dxa" w:w="632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Other income</w:t>
            </w:r>
          </w:p>
        </w:tc>
        <w:tc>
          <w:tcPr>
            <w:tcW w:type="dxa" w:w="303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5</w:t>
            </w:r>
          </w:p>
        </w:tc>
      </w:tr>
      <w:tr>
        <w:trPr>
          <w:cantSplit/>
          <w:tblHeader w:val="off"/>
        </w:trPr>
        <w:tc>
          <w:tcPr>
            <w:tcW w:type="dxa" w:w="6328"/>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Total</w:t>
            </w:r>
          </w:p>
        </w:tc>
        <w:tc>
          <w:tcPr>
            <w:tcW w:type="dxa" w:w="3032"/>
            <w:tcBorders>
              <w:top w:val="single" w:color="8A9AA8" w:sz="4"/>
              <w:left w:val="single" w:color="8A9AA8" w:sz="4"/>
              <w:bottom w:val="single" w:color="8A9AA8" w:sz="4"/>
              <w:right w:val="single" w:color="8A9AA8" w:sz="4"/>
            </w:tcBorders>
            <w:tcMar>
              <w:top w:type="dxa" w:w="60"/>
              <w:left w:type="dxa" w:w="100"/>
              <w:bottom w:type="dxa" w:w="60"/>
              <w:right w:type="dxa" w:w="100"/>
            </w:tcMar>
          </w:tcPr>
          <w:p>
            <w:r>
              <w:t xml:space="preserve">100</w:t>
            </w:r>
          </w:p>
        </w:tc>
      </w:tr>
    </w:tbl>
    <w:p>
      <w:pPr>
        <w:spacing w:after="160" w:before="200"/>
      </w:pPr>
      <w:r>
        <w:rPr>
          <w:i/>
          <w:iCs/>
        </w:rPr>
        <w:t xml:space="preserve">Figures are rounded. Royalties held in the special account are not income of the Authority and are not included.</w:t>
      </w:r>
    </w:p>
    <w:p>
      <w:pPr>
        <w:spacing w:after="160" w:before="0"/>
      </w:pPr>
      <w:r>
        <w:rPr>
          <w:i/>
          <w:iCs/>
        </w:rPr>
        <w:t xml:space="preserve">The Secretary-General, International Seabed Authority of Mir</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Secretary-General Annual Report (Excerpt)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Secretary-General Annual Report (Excerpt)</dc:title>
  <dc:subject>POLS 369 Mock Trial 2 — The Black Tide</dc:subject>
  <dc:creator>POLS 369 Mock Trial</dc:creator>
  <dc:description>Secretary-General Annual Report (Excerpt)</dc:description>
  <cp:lastModifiedBy>POLS 369 Mock Trial</cp:lastModifiedBy>
  <cp:revision>1</cp:revision>
  <dcterms:created xsi:type="dcterms:W3CDTF">2026-11-02T20:57:47.652Z</dcterms:created>
  <dcterms:modified xsi:type="dcterms:W3CDTF">2026-11-02T20:57:47.653Z</dcterms:modified>
  <dc:language>en-US</dc:language>
</cp:coreProperties>
</file>

<file path=docProps/custom.xml><?xml version="1.0" encoding="utf-8"?>
<Properties xmlns="http://schemas.openxmlformats.org/officeDocument/2006/custom-properties" xmlns:vt="http://schemas.openxmlformats.org/officeDocument/2006/docPropsVTypes"/>
</file>