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color w:val="1B3A6B"/>
        </w:rPr>
        <w:t xml:space="preserve">INTERNATIONAL SEABED AUTHORITY OF MIR</w:t>
      </w:r>
    </w:p>
    <w:p>
      <w:pPr>
        <w:spacing w:after="80"/>
        <w:jc w:val="center"/>
      </w:pPr>
      <w:r>
        <w:rPr>
          <w:b/>
          <w:bCs/>
          <w:color w:val="1B3A6B"/>
        </w:rPr>
        <w:t xml:space="preserve">APPLICATION FOR APPROVAL OF A PLAN OF WORK FOR EXPLOITATION</w:t>
      </w:r>
    </w:p>
    <w:p>
      <w:pPr>
        <w:pStyle w:val="Title"/>
        <w:jc w:val="center"/>
      </w:pPr>
      <w:r>
        <w:t xml:space="preserve">SUMMARY OF THE PLAN OF WORK</w:t>
      </w:r>
    </w:p>
    <w:p>
      <w:pPr>
        <w:spacing w:after="80"/>
        <w:jc w:val="center"/>
      </w:pPr>
      <w:r>
        <w:rPr>
          <w:b/>
          <w:bCs/>
          <w:color w:val="1B3A6B"/>
        </w:rPr>
        <w:t xml:space="preserve">ISAM/APP/EXP/001 — PSSR Block C</w:t>
      </w:r>
    </w:p>
    <w:p>
      <w:pPr>
        <w:spacing w:after="120"/>
        <w:jc w:val="center"/>
      </w:pPr>
      <w:r>
        <w:rPr>
          <w:i/>
          <w:iCs/>
        </w:rPr>
        <w:t xml:space="preserve">Summary submitted by the applicant and published by the Secretary-General under Regulation 4(1) of the DEEP Regulations</w:t>
      </w:r>
    </w:p>
    <w:p>
      <w:pPr>
        <w:pStyle w:val="Heading1"/>
      </w:pPr>
      <w:r>
        <w:t xml:space="preserve">1. THE APPLICANT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7488"/>
      </w:tblGrid>
      <w:tr>
        <w:trPr>
          <w:cantSplit/>
          <w:tblHeader/>
        </w:trPr>
        <w:tc>
          <w:tcPr>
            <w:tcW w:type="dxa" w:w="1872"/>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Item</w:t>
            </w:r>
          </w:p>
        </w:tc>
        <w:tc>
          <w:tcPr>
            <w:tcW w:type="dxa" w:w="7488"/>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Details</w:t>
            </w:r>
          </w:p>
        </w:tc>
      </w:tr>
      <w:tr>
        <w:trPr>
          <w:cantSplit/>
          <w:tblHeader w:val="off"/>
        </w:trPr>
        <w:tc>
          <w:tcPr>
            <w:tcW w:type="dxa" w:w="1872"/>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Applicant</w:t>
            </w:r>
          </w:p>
        </w:tc>
        <w:tc>
          <w:tcPr>
            <w:tcW w:type="dxa" w:w="7488"/>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Patna Surat Sea Resources (PSSR), registered in Patna Surat, Pramatra</w:t>
            </w:r>
          </w:p>
        </w:tc>
      </w:tr>
      <w:tr>
        <w:trPr>
          <w:cantSplit/>
          <w:tblHeader w:val="off"/>
        </w:trPr>
        <w:tc>
          <w:tcPr>
            <w:tcW w:type="dxa" w:w="1872"/>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Ownership</w:t>
            </w:r>
          </w:p>
        </w:tc>
        <w:tc>
          <w:tcPr>
            <w:tcW w:type="dxa" w:w="7488"/>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Majority-owned by Glasholm Minerals Group (GMG), registered in Mikhailistan. Petrogan, the national oil company of Hin-Klia, holds 20 percent of PSSR's shares.</w:t>
            </w:r>
          </w:p>
        </w:tc>
      </w:tr>
      <w:tr>
        <w:trPr>
          <w:cantSplit/>
          <w:tblHeader w:val="off"/>
        </w:trPr>
        <w:tc>
          <w:tcPr>
            <w:tcW w:type="dxa" w:w="1872"/>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Sponsoring States</w:t>
            </w:r>
          </w:p>
        </w:tc>
        <w:tc>
          <w:tcPr>
            <w:tcW w:type="dxa" w:w="7488"/>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Mikhailistan and Pramatra (certificates of sponsorship attached)</w:t>
            </w:r>
          </w:p>
        </w:tc>
      </w:tr>
      <w:tr>
        <w:trPr>
          <w:cantSplit/>
          <w:tblHeader w:val="off"/>
        </w:trPr>
        <w:tc>
          <w:tcPr>
            <w:tcW w:type="dxa" w:w="1872"/>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Chief Executive</w:t>
            </w:r>
          </w:p>
        </w:tc>
        <w:tc>
          <w:tcPr>
            <w:tcW w:type="dxa" w:w="7488"/>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Signe Ukaliq</w:t>
            </w:r>
          </w:p>
        </w:tc>
      </w:tr>
    </w:tbl>
    <w:p>
      <w:pPr>
        <w:pStyle w:val="Heading1"/>
      </w:pPr>
      <w:r>
        <w:t xml:space="preserve">2. THE PROPOSED LICENSE AREA</w:t>
      </w:r>
    </w:p>
    <w:p>
      <w:pPr>
        <w:spacing w:after="160" w:before="200"/>
      </w:pPr>
      <w:r>
        <w:t xml:space="preserve">PSSR Block C, known as the Lumen prospect, lies in the belt of seabed surrounding the Amarena Trench, under the functions conferred on the Authority by ANCHOR. The seabed in the license area lies at a depth of about 4,500 meters. The category of resources to be exploited is polymetallic nodules.</w:t>
      </w:r>
    </w:p>
    <w:p>
      <w:pPr>
        <w:spacing w:after="160" w:before="0"/>
      </w:pPr>
      <w:r>
        <w:t xml:space="preserve">The estimates in this summary are based on GMG's exploration of the area under its earlier exploration license, including its environmental baseline studies and its pilot collection test.</w:t>
      </w:r>
    </w:p>
    <w:p>
      <w:pPr>
        <w:pStyle w:val="Heading1"/>
      </w:pPr>
      <w:r>
        <w:t xml:space="preserve">3. THE PROJECT</w:t>
      </w:r>
    </w:p>
    <w:p>
      <w:pPr>
        <w:spacing w:after="160" w:before="0"/>
      </w:pPr>
      <w:r>
        <w:t xml:space="preserve">PSSR proposes the Clean Energy Rare Earth Project. A collector vehicle will gather nodules from the surface of the seabed. A riser will lift the nodules, with seawater and sediment, to the production vessel </w:t>
      </w:r>
      <w:r>
        <w:rPr>
          <w:i/>
          <w:iCs/>
        </w:rPr>
        <w:t xml:space="preserve">Green Dawn</w:t>
      </w:r>
      <w:r>
        <w:t xml:space="preserve">, a converted drillship about 230 meters long. On board, the nodules will be separated from the water, sediment and fine particles. A return line will carry the water, sediment and fine particles back down and release them at depth.</w:t>
      </w:r>
    </w:p>
    <w:p>
      <w:pPr>
        <w:spacing w:after="160" w:before="0"/>
      </w:pPr>
      <w:r>
        <w:t xml:space="preserve">The riser and return line have been engineered by Petrogan to proven offshore oil-industry standards. They are designed to withstand the most severe storm in the historical record of the Amarena Sea, as established by GMG's exploration baseline data.</w:t>
      </w:r>
    </w:p>
    <w:p>
      <w:pPr>
        <w:pStyle w:val="Heading1"/>
      </w:pPr>
      <w:r>
        <w:t xml:space="preserve">4. RESOURCE ESTIMATES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41"/>
        <w:gridCol w:w="5719"/>
      </w:tblGrid>
      <w:tr>
        <w:trPr>
          <w:cantSplit/>
          <w:tblHeader/>
        </w:trPr>
        <w:tc>
          <w:tcPr>
            <w:tcW w:type="dxa" w:w="3641"/>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Item</w:t>
            </w:r>
          </w:p>
        </w:tc>
        <w:tc>
          <w:tcPr>
            <w:tcW w:type="dxa" w:w="5719"/>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Estimate</w:t>
            </w:r>
          </w:p>
        </w:tc>
      </w:tr>
      <w:tr>
        <w:trPr>
          <w:cantSplit/>
          <w:tblHeader w:val="off"/>
        </w:trPr>
        <w:tc>
          <w:tcPr>
            <w:tcW w:type="dxa" w:w="364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Estimated resource</w:t>
            </w:r>
          </w:p>
        </w:tc>
        <w:tc>
          <w:tcPr>
            <w:tcW w:type="dxa" w:w="571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About 150 million wet tonnes of nodules</w:t>
            </w:r>
          </w:p>
        </w:tc>
      </w:tr>
      <w:tr>
        <w:trPr>
          <w:cantSplit/>
          <w:tblHeader w:val="off"/>
        </w:trPr>
        <w:tc>
          <w:tcPr>
            <w:tcW w:type="dxa" w:w="364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Average abundance</w:t>
            </w:r>
          </w:p>
        </w:tc>
        <w:tc>
          <w:tcPr>
            <w:tcW w:type="dxa" w:w="571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About 14 kilograms of wet nodules per square meter</w:t>
            </w:r>
          </w:p>
        </w:tc>
      </w:tr>
      <w:tr>
        <w:trPr>
          <w:cantSplit/>
          <w:tblHeader w:val="off"/>
        </w:trPr>
        <w:tc>
          <w:tcPr>
            <w:tcW w:type="dxa" w:w="3641"/>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Production at full capacity</w:t>
            </w:r>
          </w:p>
        </w:tc>
        <w:tc>
          <w:tcPr>
            <w:tcW w:type="dxa" w:w="5719"/>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About 1 million wet tonnes of nodules per year</w:t>
            </w:r>
          </w:p>
        </w:tc>
      </w:tr>
    </w:tbl>
    <w:p>
      <w:pPr>
        <w:spacing w:after="160" w:before="200"/>
      </w:pPr>
      <w:r>
        <w:t xml:space="preserve">Average composition of the nodules (percent of dry weight):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166"/>
        <w:gridCol w:w="2194"/>
      </w:tblGrid>
      <w:tr>
        <w:trPr>
          <w:cantSplit/>
          <w:tblHeader/>
        </w:trPr>
        <w:tc>
          <w:tcPr>
            <w:tcW w:type="dxa" w:w="7166"/>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Element</w:t>
            </w:r>
          </w:p>
        </w:tc>
        <w:tc>
          <w:tcPr>
            <w:tcW w:type="dxa" w:w="2194"/>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Percent</w:t>
            </w:r>
          </w:p>
        </w:tc>
      </w:tr>
      <w:tr>
        <w:trPr>
          <w:cantSplit/>
          <w:tblHeader w:val="off"/>
        </w:trPr>
        <w:tc>
          <w:tcPr>
            <w:tcW w:type="dxa" w:w="7166"/>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Manganese</w:t>
            </w:r>
          </w:p>
        </w:tc>
        <w:tc>
          <w:tcPr>
            <w:tcW w:type="dxa" w:w="219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29</w:t>
            </w:r>
          </w:p>
        </w:tc>
      </w:tr>
      <w:tr>
        <w:trPr>
          <w:cantSplit/>
          <w:tblHeader w:val="off"/>
        </w:trPr>
        <w:tc>
          <w:tcPr>
            <w:tcW w:type="dxa" w:w="7166"/>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Nickel</w:t>
            </w:r>
          </w:p>
        </w:tc>
        <w:tc>
          <w:tcPr>
            <w:tcW w:type="dxa" w:w="219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1.3</w:t>
            </w:r>
          </w:p>
        </w:tc>
      </w:tr>
      <w:tr>
        <w:trPr>
          <w:cantSplit/>
          <w:tblHeader w:val="off"/>
        </w:trPr>
        <w:tc>
          <w:tcPr>
            <w:tcW w:type="dxa" w:w="7166"/>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Copper</w:t>
            </w:r>
          </w:p>
        </w:tc>
        <w:tc>
          <w:tcPr>
            <w:tcW w:type="dxa" w:w="219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1.1</w:t>
            </w:r>
          </w:p>
        </w:tc>
      </w:tr>
      <w:tr>
        <w:trPr>
          <w:cantSplit/>
          <w:tblHeader w:val="off"/>
        </w:trPr>
        <w:tc>
          <w:tcPr>
            <w:tcW w:type="dxa" w:w="7166"/>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Cobalt</w:t>
            </w:r>
          </w:p>
        </w:tc>
        <w:tc>
          <w:tcPr>
            <w:tcW w:type="dxa" w:w="219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0.2</w:t>
            </w:r>
          </w:p>
        </w:tc>
      </w:tr>
      <w:tr>
        <w:trPr>
          <w:cantSplit/>
          <w:tblHeader w:val="off"/>
        </w:trPr>
        <w:tc>
          <w:tcPr>
            <w:tcW w:type="dxa" w:w="7166"/>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Rare earth elements and yttrium (combined)</w:t>
            </w:r>
          </w:p>
        </w:tc>
        <w:tc>
          <w:tcPr>
            <w:tcW w:type="dxa" w:w="2194"/>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0.08</w:t>
            </w:r>
          </w:p>
        </w:tc>
      </w:tr>
    </w:tbl>
    <w:p>
      <w:pPr>
        <w:pStyle w:val="Heading1"/>
      </w:pPr>
      <w:r>
        <w:t xml:space="preserve">5. PRODUCTS</w:t>
      </w:r>
    </w:p>
    <w:p>
      <w:pPr>
        <w:spacing w:after="160" w:before="200"/>
      </w:pPr>
      <w:r>
        <w:t xml:space="preserve">Principal product: rare earth elements, strategic minerals listed in Annex II of the DEEP Regulations.</w:t>
      </w:r>
    </w:p>
    <w:p>
      <w:pPr>
        <w:spacing w:after="160" w:before="0"/>
      </w:pPr>
      <w:r>
        <w:t xml:space="preserve">Co-products: nickel, copper, cobalt and manganese.</w:t>
      </w:r>
    </w:p>
    <w:p>
      <w:pPr>
        <w:pStyle w:val="Heading1"/>
      </w:pPr>
      <w:r>
        <w:t xml:space="preserve">6. REQUEST FOR EXPEDITED REVIEW</w:t>
      </w:r>
    </w:p>
    <w:p>
      <w:pPr>
        <w:spacing w:after="160" w:before="0"/>
      </w:pPr>
      <w:r>
        <w:t xml:space="preserve">PSSR requests that this application be reviewed under Part III of the DEEP Regulations, as a plan of work principally for the recovery of strategic minerals.</w:t>
      </w:r>
    </w:p>
    <w:p>
      <w:pPr>
        <w:spacing w:after="160" w:before="0"/>
      </w:pPr>
      <w:r>
        <w:t xml:space="preserve">Mir's reconstruction, and its transition to green energy, will require far more rare earth elements than current sources supply, for the permanent magnets used in wind turbines and electric motors. The Lumen prospect will be an important addition to Mir's supply to meet this growing demand. PSSR will recover rare earth elements from the first year of production and plans to expand its recovery capacity as production grows.</w:t>
      </w:r>
    </w:p>
    <w:p>
      <w:pPr>
        <w:pStyle w:val="Heading1"/>
      </w:pPr>
      <w:r>
        <w:t xml:space="preserve">7. ENVIRONMENTAL MANAGEMENT</w:t>
      </w:r>
    </w:p>
    <w:p>
      <w:pPr>
        <w:spacing w:after="160" w:before="0"/>
      </w:pPr>
      <w:r>
        <w:t xml:space="preserve">The environmental impact statement, the monitoring plan and the emergency response plan are attached and published with this summary. Return water will be released at depth, far below the surface waters. Monitoring results will be reported to the Authority every three months. When a severe storm threatens the license area, lifting and discharges will be suspended and the riser secured or disconnected, as provided in the emergency response plan. Any notifiable incident will be reported to the Secretary-General within 24 hours.</w:t>
      </w:r>
    </w:p>
    <w:p>
      <w:pPr>
        <w:pStyle w:val="Heading1"/>
      </w:pPr>
      <w:r>
        <w:t xml:space="preserve">8. ATTACHMENTS</w:t>
      </w:r>
    </w:p>
    <w:p>
      <w:pPr>
        <w:spacing w:after="160" w:before="0"/>
      </w:pPr>
      <w:r>
        <w:t xml:space="preserve">Environmental impact statement; monitoring plan; emergency response plan; technical annexes (including Technical Annex 3, design of the riser and return line); evidence of financial and technical capability; evidence of insurance; certificates of sponsorship.</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Summary of the Plan of Work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abstractNum w:abstractNumId="3"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0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the Plan of Work</dc:title>
  <dc:subject>POLS 369 Mock Trial 2 — The Black Tide</dc:subject>
  <dc:creator>POLS 369 Mock Trial</dc:creator>
  <dc:description>Summary of the Plan of Work</dc:description>
  <cp:lastModifiedBy>POLS 369 Mock Trial</cp:lastModifiedBy>
  <cp:revision>1</cp:revision>
  <dcterms:created xsi:type="dcterms:W3CDTF">2026-11-04T23:46:35.334Z</dcterms:created>
  <dcterms:modified xsi:type="dcterms:W3CDTF">2026-11-04T23:46:35.342Z</dcterms:modified>
  <dc:language>en-US</dc:language>
</cp:coreProperties>
</file>

<file path=docProps/custom.xml><?xml version="1.0" encoding="utf-8"?>
<Properties xmlns="http://schemas.openxmlformats.org/officeDocument/2006/custom-properties" xmlns:vt="http://schemas.openxmlformats.org/officeDocument/2006/docPropsVTypes"/>
</file>