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INTERNATIONAL SEABED AUTHORITY OF MIR</w:t>
      </w:r>
    </w:p>
    <w:p>
      <w:pPr>
        <w:pStyle w:val="Title"/>
        <w:jc w:val="center"/>
      </w:pPr>
      <w:r>
        <w:t xml:space="preserve">LICENSE FOR EXPLOITATION</w:t>
      </w:r>
    </w:p>
    <w:p>
      <w:pPr>
        <w:spacing w:after="80"/>
        <w:jc w:val="center"/>
      </w:pPr>
      <w:r>
        <w:rPr>
          <w:b/>
          <w:bCs/>
          <w:color w:val="1B3A6B"/>
        </w:rPr>
        <w:t xml:space="preserve">ISAM/LIC/EXP/001 — PSSR Block C</w:t>
      </w:r>
    </w:p>
    <w:p>
      <w:pPr>
        <w:spacing w:after="80"/>
        <w:jc w:val="center"/>
      </w:pPr>
      <w:r>
        <w:rPr>
          <w:i/>
          <w:iCs/>
          <w:color w:val="555555"/>
        </w:rPr>
        <w:t xml:space="preserve">Issued by the Secretary-General under Regulation 6(5) of the DEEP Regulations. Produced by the Authority under Article 7 of REEF.</w:t>
      </w:r>
    </w:p>
    <w:p>
      <w:pPr>
        <w:pStyle w:val="Heading1"/>
        <w:keepNext/>
      </w:pPr>
      <w:r>
        <w:t xml:space="preserve">1. THE PARTIES</w:t>
      </w:r>
    </w:p>
    <w:p>
      <w:pPr>
        <w:spacing w:after="120" w:before="120"/>
      </w:pPr>
      <w:r>
        <w:rPr>
          <w:b/>
          <w:bCs/>
        </w:rPr>
        <w:t xml:space="preserve">1.1</w:t>
      </w:r>
      <w:r>
        <w:t xml:space="preserve"> This license is issued by the International Seabed Authority of Mir (the Authority) to Patna Surat Sea Resources (PSSR), registered in Patna Surat, Pramatra (the contractor).</w:t>
      </w:r>
    </w:p>
    <w:p>
      <w:pPr>
        <w:spacing w:after="120" w:before="120"/>
      </w:pPr>
      <w:r>
        <w:rPr>
          <w:b/>
          <w:bCs/>
        </w:rPr>
        <w:t xml:space="preserve">1.2</w:t>
      </w:r>
      <w:r>
        <w:t xml:space="preserve"> The contractor is sponsored by Mikhailistan and Pramatra.</w:t>
      </w:r>
    </w:p>
    <w:p>
      <w:pPr>
        <w:spacing w:after="120" w:before="120"/>
      </w:pPr>
      <w:r>
        <w:rPr>
          <w:b/>
          <w:bCs/>
        </w:rPr>
        <w:t xml:space="preserve">1.3</w:t>
      </w:r>
      <w:r>
        <w:t xml:space="preserve"> The plan of work submitted by the contractor (ISAM/APP/EXP/001) was deemed approved under Regulation 6(3) of the DEEP Regulations, on the recommendation of the Legal and Technical Commission (ISAM/LTC/REC/017).</w:t>
      </w:r>
    </w:p>
    <w:p>
      <w:pPr>
        <w:pStyle w:val="Heading1"/>
        <w:keepNext/>
      </w:pPr>
      <w:r>
        <w:t xml:space="preserve">2. THE LICENSE AREA AND RESOURCES</w:t>
      </w:r>
    </w:p>
    <w:p>
      <w:pPr>
        <w:spacing w:after="120" w:before="120"/>
      </w:pPr>
      <w:r>
        <w:rPr>
          <w:b/>
          <w:bCs/>
        </w:rPr>
        <w:t xml:space="preserve">2.1</w:t>
      </w:r>
      <w:r>
        <w:t xml:space="preserve"> The license area is PSSR Block C, known as the Lumen prospect, in the belt of seabed surrounding the Amarena Trench, as described in Schedule 1.</w:t>
      </w:r>
    </w:p>
    <w:p>
      <w:pPr>
        <w:spacing w:after="120" w:before="120"/>
      </w:pPr>
      <w:r>
        <w:rPr>
          <w:b/>
          <w:bCs/>
        </w:rPr>
        <w:t xml:space="preserve">2.2</w:t>
      </w:r>
      <w:r>
        <w:t xml:space="preserve"> The category of resources covered by this license is polymetallic nodules.</w:t>
      </w:r>
    </w:p>
    <w:p>
      <w:pPr>
        <w:pStyle w:val="Heading1"/>
        <w:keepNext/>
      </w:pPr>
      <w:r>
        <w:t xml:space="preserve">3. TERM</w:t>
      </w:r>
    </w:p>
    <w:p>
      <w:pPr>
        <w:spacing w:after="120" w:before="120"/>
      </w:pPr>
      <w:r>
        <w:rPr>
          <w:b/>
          <w:bCs/>
        </w:rPr>
        <w:t xml:space="preserve">3.1</w:t>
      </w:r>
      <w:r>
        <w:t xml:space="preserve"> This license is issued for a term of 30 years from the date of issue.</w:t>
      </w:r>
    </w:p>
    <w:p>
      <w:pPr>
        <w:pStyle w:val="Heading1"/>
        <w:keepNext/>
      </w:pPr>
      <w:r>
        <w:t xml:space="preserve">4. RIGHTS OF THE CONTRACTOR</w:t>
      </w:r>
    </w:p>
    <w:p>
      <w:pPr>
        <w:spacing w:after="120" w:before="120"/>
      </w:pPr>
      <w:r>
        <w:rPr>
          <w:b/>
          <w:bCs/>
        </w:rPr>
        <w:t xml:space="preserve">4.1</w:t>
      </w:r>
      <w:r>
        <w:t xml:space="preserve"> The contractor has the exclusive right to exploit polymetallic nodules in the license area in accordance with this license.</w:t>
      </w:r>
    </w:p>
    <w:p>
      <w:pPr>
        <w:spacing w:after="120" w:before="120"/>
      </w:pPr>
      <w:r>
        <w:rPr>
          <w:b/>
          <w:bCs/>
        </w:rPr>
        <w:t xml:space="preserve">4.2</w:t>
      </w:r>
      <w:r>
        <w:t xml:space="preserve"> The contractor has security of tenure. This license shall not be revised, suspended or terminated except with the consent of the contractor, or in accordance with the Convention and the DEEP Regulations, including compliance notices, emergency orders and suspension under Regulation 19.</w:t>
      </w:r>
    </w:p>
    <w:p>
      <w:pPr>
        <w:pStyle w:val="Heading1"/>
        <w:keepNext/>
      </w:pPr>
      <w:r>
        <w:t xml:space="preserve">5. CONDITIONS</w:t>
      </w:r>
    </w:p>
    <w:p>
      <w:pPr>
        <w:spacing w:after="120" w:before="120"/>
      </w:pPr>
      <w:r>
        <w:t xml:space="preserve">The contractor shall:</w:t>
      </w:r>
    </w:p>
    <w:p>
      <w:pPr>
        <w:pStyle w:val="ListParagraph"/>
        <w:numPr>
          <w:ilvl w:val="0"/>
          <w:numId w:val="2"/>
        </w:numPr>
        <w:spacing w:after="80"/>
      </w:pPr>
      <w:r>
        <w:t xml:space="preserve">carry out its activities in accordance with the Convention, ANCHOR, the DEEP Regulations, its approved plan of work and this license;</w:t>
      </w:r>
    </w:p>
    <w:p>
      <w:pPr>
        <w:pStyle w:val="ListParagraph"/>
        <w:numPr>
          <w:ilvl w:val="0"/>
          <w:numId w:val="2"/>
        </w:numPr>
        <w:spacing w:after="80"/>
      </w:pPr>
      <w:r>
        <w:t xml:space="preserve">carry out its approved monitoring plan and report the results to the Secretary-General every three months;</w:t>
      </w:r>
    </w:p>
    <w:p>
      <w:pPr>
        <w:pStyle w:val="ListParagraph"/>
        <w:numPr>
          <w:ilvl w:val="0"/>
          <w:numId w:val="2"/>
        </w:numPr>
        <w:spacing w:after="80"/>
      </w:pPr>
      <w:r>
        <w:t xml:space="preserve">carry out its approved emergency response plan;</w:t>
      </w:r>
    </w:p>
    <w:p>
      <w:pPr>
        <w:pStyle w:val="ListParagraph"/>
        <w:numPr>
          <w:ilvl w:val="0"/>
          <w:numId w:val="2"/>
        </w:numPr>
        <w:spacing w:after="80"/>
      </w:pPr>
      <w:r>
        <w:t xml:space="preserve">monitor weather forecasts for the license area and, when a tropical cyclone or other severe storm threatens the license area under the conditions specified in its emergency response plan, suspend lifting and all discharges and secure or disconnect the riser system;</w:t>
      </w:r>
    </w:p>
    <w:p>
      <w:pPr>
        <w:pStyle w:val="ListParagraph"/>
        <w:numPr>
          <w:ilvl w:val="0"/>
          <w:numId w:val="2"/>
        </w:numPr>
        <w:spacing w:after="80"/>
      </w:pPr>
      <w:r>
        <w:t xml:space="preserve">before resuming production after such a suspension, or after any severe weather that may have damaged its equipment, inspect the production vessel and the riser system for damage, repair any damage found, and report the results to the Secretary-General;</w:t>
      </w:r>
    </w:p>
    <w:p>
      <w:pPr>
        <w:pStyle w:val="ListParagraph"/>
        <w:numPr>
          <w:ilvl w:val="0"/>
          <w:numId w:val="2"/>
        </w:numPr>
        <w:spacing w:after="80"/>
      </w:pPr>
      <w:r>
        <w:t xml:space="preserve">report any notifiable incident to the Secretary-General within 24 hours of becoming aware of it, without waiting for its cause or extent to be confirmed, and submit follow-up reports at least every seven days until the Secretary-General confirms that the incident is closed;</w:t>
      </w:r>
    </w:p>
    <w:p>
      <w:pPr>
        <w:pStyle w:val="ListParagraph"/>
        <w:numPr>
          <w:ilvl w:val="0"/>
          <w:numId w:val="2"/>
        </w:numPr>
        <w:spacing w:after="80"/>
      </w:pPr>
      <w:r>
        <w:t xml:space="preserve">give the Authority's inspectors access to the production vessel, its equipment and its records at any time, and all assistance necessary; the production vessel shall be inspected at least once a year;</w:t>
      </w:r>
    </w:p>
    <w:p>
      <w:pPr>
        <w:pStyle w:val="ListParagraph"/>
        <w:numPr>
          <w:ilvl w:val="0"/>
          <w:numId w:val="2"/>
        </w:numPr>
        <w:spacing w:after="80"/>
      </w:pPr>
      <w:r>
        <w:t xml:space="preserve">comply with any compliance notice, emergency order or requirement to suspend activities issued under Regulation 19;</w:t>
      </w:r>
    </w:p>
    <w:p>
      <w:pPr>
        <w:pStyle w:val="ListParagraph"/>
        <w:numPr>
          <w:ilvl w:val="0"/>
          <w:numId w:val="2"/>
        </w:numPr>
        <w:spacing w:after="80"/>
      </w:pPr>
      <w:r>
        <w:t xml:space="preserve">keep complete records of its operations;</w:t>
      </w:r>
    </w:p>
    <w:p>
      <w:pPr>
        <w:pStyle w:val="ListParagraph"/>
        <w:numPr>
          <w:ilvl w:val="0"/>
          <w:numId w:val="2"/>
        </w:numPr>
        <w:spacing w:after="80"/>
      </w:pPr>
      <w:r>
        <w:t xml:space="preserve">pay the annual fee, and the royalty at the rates set out in Annex I of the DEEP Regulations;</w:t>
      </w:r>
    </w:p>
    <w:p>
      <w:pPr>
        <w:pStyle w:val="ListParagraph"/>
        <w:numPr>
          <w:ilvl w:val="0"/>
          <w:numId w:val="2"/>
        </w:numPr>
        <w:spacing w:after="80"/>
      </w:pPr>
      <w:r>
        <w:t xml:space="preserve">pay the annual contribution to the Restoration and Victims' Fund fixed by the Council; and</w:t>
      </w:r>
    </w:p>
    <w:p>
      <w:pPr>
        <w:pStyle w:val="ListParagraph"/>
        <w:numPr>
          <w:ilvl w:val="0"/>
          <w:numId w:val="2"/>
        </w:numPr>
        <w:spacing w:after="80"/>
      </w:pPr>
      <w:r>
        <w:t xml:space="preserve">maintain insurance or a financial guarantee covering its liability for damage arising from its activities, in the amount set out in Schedule 2.</w:t>
      </w:r>
    </w:p>
    <w:p>
      <w:pPr>
        <w:pStyle w:val="Heading1"/>
        <w:keepNext/>
      </w:pPr>
      <w:r>
        <w:t xml:space="preserve">6. SCHEDULES</w:t>
      </w:r>
    </w:p>
    <w:p>
      <w:pPr>
        <w:spacing w:after="120" w:before="120"/>
      </w:pPr>
      <w:r>
        <w:t xml:space="preserve">Schedule 1 — Coordinates of the license area. Schedule 2 — Insurance and financial guarantee.</w:t>
      </w:r>
    </w:p>
    <w:p>
      <w:pPr>
        <w:pStyle w:val="Heading1"/>
        <w:keepNext/>
      </w:pPr>
      <w:r>
        <w:t xml:space="preserve">7. ISSUE AND ACCEPTANCE</w:t>
      </w:r>
    </w:p>
    <w:p>
      <w:pPr>
        <w:spacing w:after="120" w:before="120"/>
      </w:pPr>
      <w:r>
        <w:t xml:space="preserve">Issued on behalf of the International Seabed Authority of Mir.</w:t>
      </w:r>
    </w:p>
    <w:p>
      <w:pPr>
        <w:spacing w:after="120" w:before="120"/>
      </w:pPr>
      <w:r>
        <w:rPr>
          <w:i/>
          <w:iCs/>
        </w:rPr>
        <w:t xml:space="preserve">Signed:</w:t>
      </w:r>
      <w:r>
        <w:t xml:space="preserve"> The Secretary-General, International Seabed Authority of Mir</w:t>
      </w:r>
    </w:p>
    <w:p>
      <w:pPr>
        <w:spacing w:after="120" w:before="120"/>
      </w:pPr>
      <w:r>
        <w:t xml:space="preserve">The contractor accepts this license and the conditions attached to it.</w:t>
      </w:r>
    </w:p>
    <w:p>
      <w:pPr>
        <w:spacing w:after="120" w:before="120"/>
      </w:pPr>
      <w:r>
        <w:rPr>
          <w:i/>
          <w:iCs/>
        </w:rPr>
        <w:t xml:space="preserve">Signed:</w:t>
      </w:r>
      <w:r>
        <w:t xml:space="preserve"> Signe Ukaliq, Chief Executive, Patna Surat Sea Resources</w:t>
      </w:r>
    </w:p>
    <w:p>
      <w:pPr>
        <w:spacing w:after="120" w:before="120"/>
      </w:pPr>
      <w:r>
        <w:rPr>
          <w:i/>
          <w:iCs/>
          <w:color w:val="555555"/>
        </w:rPr>
        <w:t xml:space="preserve">Schedules 1 and 2 are not reproduced in this production.</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BT License — page </w:t>
    </w:r>
    <w:r>
      <w:rPr>
        <w:color w:val="555555"/>
        <w:sz w:val="18"/>
        <w:szCs w:val="18"/>
      </w:rPr>
      <w:fldChar w:fldCharType="begin"/>
      <w:instrText xml:space="preserve">PAGE</w:instrText>
      <w:fldChar w:fldCharType="separate"/>
      <w:fldChar w:fldCharType="end"/>
    </w:r>
    <w:r>
      <w:rPr>
        <w:color w:val="555555"/>
        <w:sz w:val="18"/>
        <w:szCs w:val="18"/>
      </w:rPr>
      <w:t xml:space="preserve"> of </w:t>
    </w:r>
    <w:r>
      <w:rPr>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lang w:val="en-US"/>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120"/>
    </w:pPr>
    <w:rPr>
      <w:rFonts w:ascii="Arial" w:cs="Arial" w:eastAsia="Arial" w:hAnsi="Arial"/>
      <w:b/>
      <w:bCs/>
      <w:color w:val="1B3A6B"/>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1B3A6B"/>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 License</dc:title>
  <dc:subject>Trial 2 — The Black Tide — Trial Record</dc:subject>
  <dc:creator>POLS 369 Mock Trial</dc:creator>
  <dc:description>BT License</dc:description>
  <cp:lastModifiedBy>POLS 369 Mock Trial</cp:lastModifiedBy>
  <cp:revision>1</cp:revision>
  <dcterms:created xsi:type="dcterms:W3CDTF">2026-11-02T15:39:52.946Z</dcterms:created>
  <dcterms:modified xsi:type="dcterms:W3CDTF">2026-11-02T15:39:52.946Z</dcterms:modified>
</cp:coreProperties>
</file>

<file path=docProps/custom.xml><?xml version="1.0" encoding="utf-8"?>
<Properties xmlns="http://schemas.openxmlformats.org/officeDocument/2006/custom-properties" xmlns:vt="http://schemas.openxmlformats.org/officeDocument/2006/docPropsVTypes"/>
</file>