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INTERNATIONAL SEABED AUTHORITY OF MIR</w:t>
      </w:r>
    </w:p>
    <w:p>
      <w:pPr>
        <w:pStyle w:val="Title"/>
        <w:jc w:val="center"/>
      </w:pPr>
      <w:r>
        <w:t xml:space="preserve">INSPECTION RECORD</w:t>
      </w:r>
    </w:p>
    <w:p>
      <w:pPr>
        <w:spacing w:after="80"/>
        <w:jc w:val="center"/>
      </w:pPr>
      <w:r>
        <w:rPr>
          <w:b/>
          <w:bCs/>
          <w:color w:val="1B3A6B"/>
        </w:rPr>
        <w:t xml:space="preserve">Production Vessel Green Dawn — PSSR Block C (License ISAM/LIC/EXP/001)</w:t>
      </w:r>
    </w:p>
    <w:p>
      <w:pPr>
        <w:spacing w:after="80"/>
        <w:jc w:val="center"/>
      </w:pPr>
      <w:r>
        <w:rPr>
          <w:i/>
          <w:iCs/>
          <w:color w:val="555555"/>
        </w:rPr>
        <w:t xml:space="preserve">Record of inspections under Regulation 18 of the DEEP Regulations, kept by the Secretariat. Produced by the Authority under Article 7 of REEF. Times are counted from the passage of Hurricane Yolanda (Day 0).</w:t>
      </w:r>
    </w:p>
    <w:p>
      <w:pPr>
        <w:pStyle w:val="Heading1"/>
        <w:keepNext/>
      </w:pPr>
      <w:r>
        <w:t xml:space="preserve">1. SUMMARY OF INSPECTIONS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54"/>
        <w:gridCol w:w="2124"/>
        <w:gridCol w:w="1641"/>
        <w:gridCol w:w="1755"/>
        <w:gridCol w:w="1986"/>
      </w:tblGrid>
      <w:tr>
        <w:trPr>
          <w:cantSplit/>
          <w:tblHeader/>
        </w:trPr>
        <w:tc>
          <w:tcPr>
            <w:tcW w:type="dxa" w:w="1854"/>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Inspection</w:t>
            </w:r>
          </w:p>
        </w:tc>
        <w:tc>
          <w:tcPr>
            <w:tcW w:type="dxa" w:w="2124"/>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Timing</w:t>
            </w:r>
          </w:p>
        </w:tc>
        <w:tc>
          <w:tcPr>
            <w:tcW w:type="dxa" w:w="1641"/>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Inspectors</w:t>
            </w:r>
          </w:p>
        </w:tc>
        <w:tc>
          <w:tcPr>
            <w:tcW w:type="dxa" w:w="1755"/>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Equipment findings</w:t>
            </w:r>
          </w:p>
        </w:tc>
        <w:tc>
          <w:tcPr>
            <w:tcW w:type="dxa" w:w="1986"/>
            <w:tcBorders>
              <w:top w:val="single" w:color="8A97AD" w:sz="4"/>
              <w:left w:val="single" w:color="8A97AD" w:sz="4"/>
              <w:bottom w:val="single" w:color="8A97AD" w:sz="4"/>
              <w:right w:val="single" w:color="8A97AD" w:sz="4"/>
            </w:tcBorders>
            <w:shd w:fill="1B3A6B" w:color="auto" w:val="clear"/>
            <w:tcMar>
              <w:top w:type="dxa" w:w="60"/>
              <w:left w:type="dxa" w:w="100"/>
              <w:bottom w:type="dxa" w:w="60"/>
              <w:right w:type="dxa" w:w="100"/>
            </w:tcMar>
          </w:tcPr>
          <w:p>
            <w:r>
              <w:rPr>
                <w:b/>
                <w:bCs/>
                <w:color w:val="FFFFFF"/>
                <w:sz w:val="22"/>
                <w:szCs w:val="22"/>
              </w:rPr>
              <w:t xml:space="preserve">Other findings</w:t>
            </w:r>
          </w:p>
        </w:tc>
      </w:tr>
      <w:tr>
        <w:trPr>
          <w:cantSplit/>
          <w:tblHeader w:val="off"/>
        </w:trPr>
        <w:tc>
          <w:tcPr>
            <w:tcW w:type="dxa" w:w="185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Commissioning inspection</w:t>
            </w:r>
          </w:p>
        </w:tc>
        <w:tc>
          <w:tcPr>
            <w:tcW w:type="dxa" w:w="212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Before the start of commercial production</w:t>
            </w:r>
          </w:p>
        </w:tc>
        <w:tc>
          <w:tcPr>
            <w:tcW w:type="dxa" w:w="164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Two</w:t>
            </w:r>
          </w:p>
        </w:tc>
        <w:tc>
          <w:tcPr>
            <w:tcW w:type="dxa" w:w="1755"/>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None</w:t>
            </w:r>
          </w:p>
        </w:tc>
        <w:tc>
          <w:tcPr>
            <w:tcW w:type="dxa" w:w="1986"/>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One record-keeping item, corrected</w:t>
            </w:r>
          </w:p>
        </w:tc>
      </w:tr>
      <w:tr>
        <w:trPr>
          <w:cantSplit/>
          <w:tblHeader w:val="off"/>
        </w:trPr>
        <w:tc>
          <w:tcPr>
            <w:tcW w:type="dxa" w:w="185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First annual inspection</w:t>
            </w:r>
          </w:p>
        </w:tc>
        <w:tc>
          <w:tcPr>
            <w:tcW w:type="dxa" w:w="212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one year after the start of production</w:t>
            </w:r>
          </w:p>
        </w:tc>
        <w:tc>
          <w:tcPr>
            <w:tcW w:type="dxa" w:w="164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Two</w:t>
            </w:r>
          </w:p>
        </w:tc>
        <w:tc>
          <w:tcPr>
            <w:tcW w:type="dxa" w:w="1755"/>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None</w:t>
            </w:r>
          </w:p>
        </w:tc>
        <w:tc>
          <w:tcPr>
            <w:tcW w:type="dxa" w:w="1986"/>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None</w:t>
            </w:r>
          </w:p>
        </w:tc>
      </w:tr>
      <w:tr>
        <w:trPr>
          <w:cantSplit/>
          <w:tblHeader w:val="off"/>
        </w:trPr>
        <w:tc>
          <w:tcPr>
            <w:tcW w:type="dxa" w:w="185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Second annual inspection</w:t>
            </w:r>
          </w:p>
        </w:tc>
        <w:tc>
          <w:tcPr>
            <w:tcW w:type="dxa" w:w="212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About ten months before Day 0</w:t>
            </w:r>
          </w:p>
        </w:tc>
        <w:tc>
          <w:tcPr>
            <w:tcW w:type="dxa" w:w="164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Two</w:t>
            </w:r>
          </w:p>
        </w:tc>
        <w:tc>
          <w:tcPr>
            <w:tcW w:type="dxa" w:w="1755"/>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None</w:t>
            </w:r>
          </w:p>
        </w:tc>
        <w:tc>
          <w:tcPr>
            <w:tcW w:type="dxa" w:w="1986"/>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One record-keeping item, corrected</w:t>
            </w:r>
          </w:p>
        </w:tc>
      </w:tr>
      <w:tr>
        <w:trPr>
          <w:cantSplit/>
          <w:tblHeader w:val="off"/>
        </w:trPr>
        <w:tc>
          <w:tcPr>
            <w:tcW w:type="dxa" w:w="185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Next scheduled inspection</w:t>
            </w:r>
          </w:p>
        </w:tc>
        <w:tc>
          <w:tcPr>
            <w:tcW w:type="dxa" w:w="2124"/>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Due about two months after Day 0</w:t>
            </w:r>
          </w:p>
        </w:tc>
        <w:tc>
          <w:tcPr>
            <w:tcW w:type="dxa" w:w="1641"/>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w:t>
            </w:r>
          </w:p>
        </w:tc>
        <w:tc>
          <w:tcPr>
            <w:tcW w:type="dxa" w:w="1755"/>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w:t>
            </w:r>
          </w:p>
        </w:tc>
        <w:tc>
          <w:tcPr>
            <w:tcW w:type="dxa" w:w="1986"/>
            <w:tcBorders>
              <w:top w:val="single" w:color="8A97AD" w:sz="4"/>
              <w:left w:val="single" w:color="8A97AD" w:sz="4"/>
              <w:bottom w:val="single" w:color="8A97AD" w:sz="4"/>
              <w:right w:val="single" w:color="8A97AD" w:sz="4"/>
            </w:tcBorders>
            <w:tcMar>
              <w:top w:type="dxa" w:w="60"/>
              <w:left w:type="dxa" w:w="100"/>
              <w:bottom w:type="dxa" w:w="60"/>
              <w:right w:type="dxa" w:w="100"/>
            </w:tcMar>
          </w:tcPr>
          <w:p>
            <w:r>
              <w:rPr>
                <w:sz w:val="22"/>
                <w:szCs w:val="22"/>
              </w:rPr>
              <w:t xml:space="preserve">—</w:t>
            </w:r>
          </w:p>
        </w:tc>
      </w:tr>
    </w:tbl>
    <w:p>
      <w:pPr>
        <w:pStyle w:val="Heading1"/>
        <w:keepNext/>
      </w:pPr>
      <w:r>
        <w:t xml:space="preserve">2. SCOPE OF INSPECTIONS</w:t>
      </w:r>
    </w:p>
    <w:p>
      <w:pPr>
        <w:spacing w:after="120" w:before="120"/>
      </w:pPr>
      <w:r>
        <w:rPr>
          <w:b/>
          <w:bCs/>
        </w:rPr>
        <w:t xml:space="preserve">2.1</w:t>
      </w:r>
      <w:r>
        <w:t xml:space="preserve"> Under Regulation 18(2), the </w:t>
      </w:r>
      <w:r>
        <w:rPr>
          <w:i/>
          <w:iCs/>
        </w:rPr>
        <w:t xml:space="preserve">Green Dawn</w:t>
      </w:r>
      <w:r>
        <w:t xml:space="preserve"> is inspected at least once a year. Inspections are scheduled in advance with the contractor.</w:t>
      </w:r>
    </w:p>
    <w:p>
      <w:pPr>
        <w:spacing w:after="120" w:before="120"/>
      </w:pPr>
      <w:r>
        <w:rPr>
          <w:b/>
          <w:bCs/>
        </w:rPr>
        <w:t xml:space="preserve">2.2</w:t>
      </w:r>
      <w:r>
        <w:t xml:space="preserve"> At each inspection, the inspectors board the </w:t>
      </w:r>
      <w:r>
        <w:rPr>
          <w:i/>
          <w:iCs/>
        </w:rPr>
        <w:t xml:space="preserve">Green Dawn</w:t>
      </w:r>
      <w:r>
        <w:t xml:space="preserve"> and:</w:t>
      </w:r>
    </w:p>
    <w:p>
      <w:pPr>
        <w:pStyle w:val="ListParagraph"/>
        <w:numPr>
          <w:ilvl w:val="0"/>
          <w:numId w:val="2"/>
        </w:numPr>
        <w:spacing w:after="80"/>
      </w:pPr>
      <w:r>
        <w:t xml:space="preserve">examine the production vessel, its deck equipment and the separation plant;</w:t>
      </w:r>
    </w:p>
    <w:p>
      <w:pPr>
        <w:pStyle w:val="ListParagraph"/>
        <w:numPr>
          <w:ilvl w:val="0"/>
          <w:numId w:val="2"/>
        </w:numPr>
        <w:spacing w:after="80"/>
      </w:pPr>
      <w:r>
        <w:t xml:space="preserve">examine the riser and the return line where they pass through the opening in the hull, and their couplings, shutdown valves and pumps on board;</w:t>
      </w:r>
    </w:p>
    <w:p>
      <w:pPr>
        <w:pStyle w:val="ListParagraph"/>
        <w:numPr>
          <w:ilvl w:val="0"/>
          <w:numId w:val="2"/>
        </w:numPr>
        <w:spacing w:after="80"/>
      </w:pPr>
      <w:r>
        <w:t xml:space="preserve">check the equipment monitoring on board, including the riser's flow and pressure sensors and alarms;</w:t>
      </w:r>
    </w:p>
    <w:p>
      <w:pPr>
        <w:pStyle w:val="ListParagraph"/>
        <w:numPr>
          <w:ilvl w:val="0"/>
          <w:numId w:val="2"/>
        </w:numPr>
        <w:spacing w:after="80"/>
      </w:pPr>
      <w:r>
        <w:t xml:space="preserve">review the contractor's records of operations, maintenance and repairs;</w:t>
      </w:r>
    </w:p>
    <w:p>
      <w:pPr>
        <w:pStyle w:val="ListParagraph"/>
        <w:numPr>
          <w:ilvl w:val="0"/>
          <w:numId w:val="2"/>
        </w:numPr>
        <w:spacing w:after="80"/>
      </w:pPr>
      <w:r>
        <w:t xml:space="preserve">review the contractor's monitoring data and its quarterly monitoring reports; and</w:t>
      </w:r>
    </w:p>
    <w:p>
      <w:pPr>
        <w:pStyle w:val="ListParagraph"/>
        <w:numPr>
          <w:ilvl w:val="0"/>
          <w:numId w:val="2"/>
        </w:numPr>
        <w:spacing w:after="80"/>
      </w:pPr>
      <w:r>
        <w:t xml:space="preserve">review the records of the contractor's own inspections of the underwater equipment by remotely operated vehicle, including the riser, the return line and the collector.</w:t>
      </w:r>
    </w:p>
    <w:p>
      <w:pPr>
        <w:spacing w:after="120" w:before="120"/>
      </w:pPr>
      <w:r>
        <w:rPr>
          <w:b/>
          <w:bCs/>
        </w:rPr>
        <w:t xml:space="preserve">2.3</w:t>
      </w:r>
      <w:r>
        <w:t xml:space="preserve"> The inspectors do not themselves inspect equipment below the water. The condition of the underwater sections of the riser, the return line and the collector is assessed from the contractor's inspection records.</w:t>
      </w:r>
    </w:p>
    <w:p>
      <w:pPr>
        <w:pStyle w:val="Heading1"/>
        <w:keepNext/>
      </w:pPr>
      <w:r>
        <w:t xml:space="preserve">3. NOTES ON EACH INSPECTION</w:t>
      </w:r>
    </w:p>
    <w:p>
      <w:pPr>
        <w:spacing w:after="120" w:before="120"/>
      </w:pPr>
      <w:r>
        <w:rPr>
          <w:b/>
          <w:bCs/>
        </w:rPr>
        <w:t xml:space="preserve">3.1 Commissioning inspection.</w:t>
      </w:r>
      <w:r>
        <w:t xml:space="preserve"> The inspectors examined the vessel and the mining system before the start of commercial production, observed a test of the riser's shutdown valves, and confirmed that the monitoring moorings were in place. The contractor's maintenance log was incomplete for two items of deck equipment. The contractor completed the log before production began. The inspectors recorded no other findings.</w:t>
      </w:r>
    </w:p>
    <w:p>
      <w:pPr>
        <w:spacing w:after="120" w:before="120"/>
      </w:pPr>
      <w:r>
        <w:rPr>
          <w:b/>
          <w:bCs/>
        </w:rPr>
        <w:t xml:space="preserve">3.2 First annual inspection.</w:t>
      </w:r>
      <w:r>
        <w:t xml:space="preserve"> The inspectors examined the vessel and the equipment on board and reviewed the records for the first year of production, including the contractor's remotely operated vehicle inspection records for the riser, the return line and the collector, which showed no damage. Monitoring data were within the ranges predicted in the environmental impact statement. No findings were recorded.</w:t>
      </w:r>
    </w:p>
    <w:p>
      <w:pPr>
        <w:spacing w:after="120" w:before="120"/>
      </w:pPr>
      <w:r>
        <w:rPr>
          <w:b/>
          <w:bCs/>
        </w:rPr>
        <w:t xml:space="preserve">3.3 Second annual inspection.</w:t>
      </w:r>
      <w:r>
        <w:t xml:space="preserve"> The inspectors examined the vessel and the equipment on board and reviewed the records for the second year of production, including the contractor's remotely operated vehicle inspection records, which showed routine wear and the replacement of two riser couplings during scheduled maintenance. Monitoring data were within the predicted ranges. The record of one quarterly monitoring report had been filed late. The contractor corrected its filing procedure. No other findings were recorded.</w:t>
      </w:r>
    </w:p>
    <w:p>
      <w:pPr>
        <w:spacing w:after="120" w:before="120"/>
      </w:pPr>
      <w:r>
        <w:rPr>
          <w:b/>
          <w:bCs/>
        </w:rPr>
        <w:t xml:space="preserve">3.4 Next scheduled inspection.</w:t>
      </w:r>
      <w:r>
        <w:t xml:space="preserve"> The next annual inspection was scheduled for about two months after Day 0, in agreement with the contractor.</w:t>
      </w:r>
    </w:p>
    <w:p>
      <w:pPr>
        <w:pStyle w:val="Heading1"/>
        <w:keepNext/>
      </w:pPr>
      <w:r>
        <w:t xml:space="preserve">4. INSPECTIONS AFTER DAY 0</w:t>
      </w:r>
    </w:p>
    <w:p>
      <w:pPr>
        <w:spacing w:after="120" w:before="120"/>
      </w:pPr>
      <w:r>
        <w:t xml:space="preserve">No inspection of the </w:t>
      </w:r>
      <w:r>
        <w:rPr>
          <w:i/>
          <w:iCs/>
        </w:rPr>
        <w:t xml:space="preserve">Green Dawn</w:t>
      </w:r>
      <w:r>
        <w:t xml:space="preserve"> was carried out between Day 0 and the suspension of activities on Day 42.</w:t>
      </w:r>
    </w:p>
    <w:p>
      <w:pPr>
        <w:spacing w:after="120" w:before="120"/>
      </w:pPr>
      <w:r>
        <w:rPr>
          <w:i/>
          <w:iCs/>
          <w:color w:val="555555"/>
        </w:rPr>
        <w:t xml:space="preserve">Secretariat, International Seabed Authority of Mir</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t xml:space="preserve">BT Inspection Record — page </w:t>
    </w:r>
    <w:r>
      <w:rPr>
        <w:color w:val="555555"/>
        <w:sz w:val="18"/>
        <w:szCs w:val="18"/>
      </w:rPr>
      <w:fldChar w:fldCharType="begin"/>
      <w:instrText xml:space="preserve">PAGE</w:instrText>
      <w:fldChar w:fldCharType="separate"/>
      <w:fldChar w:fldCharType="end"/>
    </w:r>
    <w:r>
      <w:rPr>
        <w:color w:val="555555"/>
        <w:sz w:val="18"/>
        <w:szCs w:val="18"/>
      </w:rPr>
      <w:t xml:space="preserve"> of </w:t>
    </w:r>
    <w:r>
      <w:rPr>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lang w:val="en-US"/>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before="120"/>
    </w:pPr>
    <w:rPr>
      <w:rFonts w:ascii="Arial" w:cs="Arial" w:eastAsia="Arial" w:hAnsi="Arial"/>
      <w:b/>
      <w:bCs/>
      <w:color w:val="1B3A6B"/>
      <w:sz w:val="36"/>
      <w:szCs w:val="36"/>
    </w:rPr>
  </w:style>
  <w:style w:type="paragraph" w:styleId="Heading1">
    <w:name w:val="Heading 1"/>
    <w:basedOn w:val="Normal"/>
    <w:next w:val="Normal"/>
    <w:qFormat/>
    <w:pPr>
      <w:spacing w:after="120" w:before="280"/>
      <w:outlineLvl w:val="0"/>
    </w:pPr>
    <w:rPr>
      <w:rFonts w:ascii="Arial" w:cs="Arial" w:eastAsia="Arial" w:hAnsi="Arial"/>
      <w:b/>
      <w:bCs/>
      <w:color w:val="1B3A6B"/>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 Inspection Record</dc:title>
  <dc:subject>Trial 2 — The Black Tide — Trial Record</dc:subject>
  <dc:creator>POLS 369 Mock Trial</dc:creator>
  <dc:description>BT Inspection Record</dc:description>
  <cp:lastModifiedBy>POLS 369 Mock Trial</cp:lastModifiedBy>
  <cp:revision>1</cp:revision>
  <dcterms:created xsi:type="dcterms:W3CDTF">2026-11-02T15:39:55.436Z</dcterms:created>
  <dcterms:modified xsi:type="dcterms:W3CDTF">2026-11-02T15:39:55.436Z</dcterms:modified>
</cp:coreProperties>
</file>

<file path=docProps/custom.xml><?xml version="1.0" encoding="utf-8"?>
<Properties xmlns="http://schemas.openxmlformats.org/officeDocument/2006/custom-properties" xmlns:vt="http://schemas.openxmlformats.org/officeDocument/2006/docPropsVTypes"/>
</file>