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1 Counsel - Prosecution</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1 Counsel in the Office of the Prosecutor.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Prosecution</w:t>
      </w:r>
    </w:p>
    <w:p>
      <w:pPr>
        <w:spacing w:after="160" w:before="0"/>
      </w:pPr>
      <w:r>
        <w:t xml:space="preserve">You are Count 1 Counsel for the Office of the Prosecutor. You are responsible for the Office's case on Count 1, as set out in Application No. HCM-DIII-023 against Patna Surat Sea Resources (PSSR) and the International Seabed Authority of Mir (ISAM): Failure to Prevent Serious Harm to the Marine Environment. These proceedings are not criminal. The Chamber decides whether each respondent is responsible, not whether anyone is guilty. Determining which provisions of Mir law govern this count, what they require, and what each respondent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Prosecution Count Counsel (whichever counts are active at your enrollment level) as one team, and you face two defense teams (the PSSR Defense and the ISAM Defense), each of which has its own Count 1 Counsel arguing against you specifically. The two defense teams are independent of each other and may argue against each other as well as against you. Each count is filed and graded separately and stays that way, and there is no single merged prosecution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BEACON Advisory Opinion, including its dissenting declarations; ANCHOR; the DEEP Regulations; the REEF Protocol; the HELM Rules; and the instruments carried over from Trial 1, such as LEAF.</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each respondent have to do before Hurricane Yolanda to prevent harm, and where is that standard set?</w:t>
      </w:r>
    </w:p>
    <w:p>
      <w:pPr>
        <w:pStyle w:val="ListParagraph"/>
        <w:numPr>
          <w:ilvl w:val="1"/>
          <w:numId w:val="2"/>
        </w:numPr>
        <w:shd w:fill="EEF2F7" w:color="auto" w:val="clear"/>
        <w:spacing w:after="80"/>
      </w:pPr>
      <w:r>
        <w:t xml:space="preserve">How is foreseeability judged: by what was known at the time, or by what later happened?</w:t>
      </w:r>
    </w:p>
    <w:p>
      <w:pPr>
        <w:pStyle w:val="ListParagraph"/>
        <w:numPr>
          <w:ilvl w:val="1"/>
          <w:numId w:val="2"/>
        </w:numPr>
        <w:shd w:fill="EEF2F7" w:color="auto" w:val="clear"/>
        <w:spacing w:after="80"/>
      </w:pPr>
      <w:r>
        <w:t xml:space="preserve">Where does the record show what each respondent knew, or could have known, about storms and about how water and sediment were returned to the sea?</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you have not yet introduced your evidence. By Week 3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Prosecution team and are where you work with each other on creating the best possible individual parts, coordinated so that you present the strongest prosecution case you are able to build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Prosecution team on Discord. This should be a real, specific starting position, not just "I'll write about Count 1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contradictions between counts, weak legal grounding, or evidence that should be flagged as shared between counts.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both defense teams,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addressed each respondent, PSSR and ISAM, on its own terms?</w:t>
      </w:r>
    </w:p>
    <w:p>
      <w:pPr>
        <w:pStyle w:val="ListParagraph"/>
        <w:numPr>
          <w:ilvl w:val="0"/>
          <w:numId w:val="2"/>
        </w:numPr>
        <w:spacing w:after="80"/>
      </w:pPr>
      <w:r>
        <w:t xml:space="preserve">Have I anticipated the strongest counter-argument each defense team is likely to raise against this specific point, rather than only making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the first moment Count 1 exists anywhere outside the Application. Nothing has been filed yet by anyone, so there is nothing to react to, as you are setting the terms the rest of the trial will play out on. Coordinate closely with your fellow Count Counsel this week: the bench, both defense teams, and every other role in the simulation will read these openings side by side, and visible tension between counts before the trial has properly begun is the kind of thing that gets noticed.</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outline of your Count 1 Opening Statement to your Prosecution team. Identify: (a) Count 1 against PSSR and ISAM as set out in the Application; (b) which body or bodies of Mir law you believe govern this count, and what you currently understand them to require of each respondent (your Issue and Rule); and (c) the general categories of evidence you currently expect to introduce.</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one, or complete the Self-Review Checklist if no teammate is available): does their proposed legal grounding look sound to you? Is anything missing? Does their framing create tension with how you are framing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1 Opening Statement. State Count 1 against PSSR and ISAM as set out in the Application. Identify which provisions of Mir law you believe govern this count and state what you believe the Office must establish under them against each respondent (your Issue and Rule, in IRAC terms). A full Application is not expected yet, since you have not formally introduced evidence. If the instrument you are relying on contains any exception, qualification, or declaration, note how it bears on your case. Preview, in general terms, the categories of evidence you intend to introduce in support of each element.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Opening Statement</w:t>
      </w:r>
    </w:p>
    <w:p>
      <w:pPr>
        <w:pStyle w:val="ListParagraph"/>
        <w:numPr>
          <w:ilvl w:val="0"/>
          <w:numId w:val="3"/>
        </w:numPr>
      </w:pPr>
      <w:r>
        <w:rPr>
          <w:b/>
          <w:bCs/>
        </w:rPr>
        <w:t xml:space="preserve">Count:</w:t>
      </w:r>
      <w:r>
        <w:t xml:space="preserve"> </w:t>
      </w:r>
      <w:r>
        <w:rPr>
          <w:i/>
          <w:iCs/>
        </w:rPr>
        <w:t xml:space="preserve">[State Count 1 against PSSR and ISAM exactly as set out in the Application.]</w:t>
      </w:r>
    </w:p>
    <w:p>
      <w:pPr>
        <w:pStyle w:val="ListParagraph"/>
        <w:numPr>
          <w:ilvl w:val="0"/>
          <w:numId w:val="3"/>
        </w:numPr>
      </w:pPr>
      <w:r>
        <w:rPr>
          <w:b/>
          <w:bCs/>
        </w:rPr>
        <w:t xml:space="preserve">Issue:</w:t>
      </w:r>
      <w:r>
        <w:t xml:space="preserve"> </w:t>
      </w:r>
      <w:r>
        <w:rPr>
          <w:i/>
          <w:iCs/>
        </w:rPr>
        <w:t xml:space="preserve">[State the precise legal question this opening statement is answering.]</w:t>
      </w:r>
    </w:p>
    <w:p>
      <w:pPr>
        <w:pStyle w:val="ListParagraph"/>
        <w:numPr>
          <w:ilvl w:val="0"/>
          <w:numId w:val="3"/>
        </w:numPr>
      </w:pPr>
      <w:r>
        <w:rPr>
          <w:b/>
          <w:bCs/>
        </w:rPr>
        <w:t xml:space="preserve">Rule:</w:t>
      </w:r>
      <w:r>
        <w:t xml:space="preserve"> </w:t>
      </w:r>
      <w:r>
        <w:rPr>
          <w:i/>
          <w:iCs/>
        </w:rPr>
        <w:t xml:space="preserve">[Identify which provision(s) of Mir law govern this count and what they require of each respondent. If the instrument contains an exception, qualification, or declaration, note how it bears on your case.]</w:t>
      </w:r>
    </w:p>
    <w:p>
      <w:pPr>
        <w:pStyle w:val="ListParagraph"/>
        <w:numPr>
          <w:ilvl w:val="0"/>
          <w:numId w:val="3"/>
        </w:numPr>
      </w:pPr>
      <w:r>
        <w:rPr>
          <w:b/>
          <w:bCs/>
        </w:rPr>
        <w:t xml:space="preserve">Evidence Preview:</w:t>
      </w:r>
      <w:r>
        <w:t xml:space="preserve"> </w:t>
      </w:r>
      <w:r>
        <w:rPr>
          <w:i/>
          <w:iCs/>
        </w:rPr>
        <w:t xml:space="preserve">[List, in general terms, the categories of evidence you expect to introduce for each element, for each respondent - not a full Application yet.]</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your case stops being a set of claims and starts being backed by something. The evidence you formally introduce now, drawn from the Trial Record and the Public Record on the simulation website, is the foundation your Application will stand on for the rest of the trial, so precision matters more than volume. You are also working in parallel with the other Count Counsel on your team: evidence sometimes supports more than one count, and you need to agree with your teammates on who is formally introducing each shared item so the same document does not appear, possibly framed differently, in two separate submissions. This week you may also include one preliminary motion in your filing.</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list of the specific evidence items you plan to formally introduce in your Count 1 Evidence Submission. For each item, state which element of your legal theory it supports and against which respondent. If you are considering a preliminary motion, say what it would ask for.</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flag any evidence that overlaps with another count, and agree on which count "owns" each shared item so it is not duplicated across submissions. If more than one of you is considering a motion, agree on who files it.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1 Evidence Submission. Formally introduce the evidence relevant to Count 1. For each piece of evidence, state its relevance to a specific element of the count as you have framed it, and to which respondent - this is your Application taking shape - and anticipate at least one admissibility challenge a defense team is likely to raise against it, explaining why the evidence should nonetheless be admitted. Before submitting, check whether any new documents have entered the trial record this week, and if so, assess whether they are relevant to Count 1 and incorporate them if they are.</w:t>
      </w:r>
    </w:p>
    <w:p>
      <w:pPr>
        <w:shd w:fill="EEF2F7" w:color="auto" w:val="clear"/>
        <w:spacing w:after="120"/>
        <w:ind w:left="360" w:right="360"/>
      </w:pPr>
      <w:r>
        <w:t xml:space="preserve">You may also include one preliminary motion. The HELM Rules allow motions on grounds such as jurisdiction, the admissibility of evidence, the production of documents, or the separation of the proceedings. A motion must be specific and grounded in Mir law; a general objection is not a motion.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Evidence Submission</w:t>
      </w:r>
    </w:p>
    <w:p>
      <w:pPr>
        <w:pStyle w:val="ListParagraph"/>
        <w:numPr>
          <w:ilvl w:val="0"/>
          <w:numId w:val="4"/>
        </w:numPr>
      </w:pPr>
      <w:r>
        <w:rPr>
          <w:b/>
          <w:bCs/>
        </w:rPr>
        <w:t xml:space="preserve">Evidence Introduced:</w:t>
      </w:r>
      <w:r>
        <w:t xml:space="preserve"> </w:t>
      </w:r>
      <w:r>
        <w:rPr>
          <w:i/>
          <w:iCs/>
        </w:rPr>
        <w:t xml:space="preserve">[List each item of evidence you are formally introducing for Count 1 this week.]</w:t>
      </w:r>
    </w:p>
    <w:p>
      <w:pPr>
        <w:pStyle w:val="ListParagraph"/>
        <w:numPr>
          <w:ilvl w:val="0"/>
          <w:numId w:val="4"/>
        </w:numPr>
      </w:pPr>
      <w:r>
        <w:rPr>
          <w:b/>
          <w:bCs/>
        </w:rPr>
        <w:t xml:space="preserve">Element Supported:</w:t>
      </w:r>
      <w:r>
        <w:t xml:space="preserve"> </w:t>
      </w:r>
      <w:r>
        <w:rPr>
          <w:i/>
          <w:iCs/>
        </w:rPr>
        <w:t xml:space="preserve">[For each item above, identify the specific element of the count it supports, and against which respondent - this is your Application taking shape.]</w:t>
      </w:r>
    </w:p>
    <w:p>
      <w:pPr>
        <w:pStyle w:val="ListParagraph"/>
        <w:numPr>
          <w:ilvl w:val="0"/>
          <w:numId w:val="4"/>
        </w:numPr>
      </w:pPr>
      <w:r>
        <w:rPr>
          <w:b/>
          <w:bCs/>
        </w:rPr>
        <w:t xml:space="preserve">Admissibility Challenge Anticipated:</w:t>
      </w:r>
      <w:r>
        <w:t xml:space="preserve"> </w:t>
      </w:r>
      <w:r>
        <w:rPr>
          <w:i/>
          <w:iCs/>
        </w:rPr>
        <w:t xml:space="preserve">[For each item, state at least one challenge a defense team is likely to raise against it, and why it should be admitted anyway.]</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whether they are relevant to Count 1.]</w:t>
      </w:r>
    </w:p>
    <w:p>
      <w:pPr>
        <w:pStyle w:val="ListParagraph"/>
        <w:numPr>
          <w:ilvl w:val="0"/>
          <w:numId w:val="4"/>
        </w:numPr>
      </w:pPr>
      <w:r>
        <w:rPr>
          <w:b/>
          <w:bCs/>
        </w:rPr>
        <w:t xml:space="preserve">Preliminary Motion (optional):</w:t>
      </w:r>
      <w:r>
        <w:t xml:space="preserve"> </w:t>
      </w:r>
      <w:r>
        <w:rPr>
          <w:i/>
          <w:iCs/>
        </w:rPr>
        <w:t xml:space="preserve">[If you file a motion, state its ground, the provision of Mir law it relies on and how that provision applies to the facts of Count 1, and the relief requested. If you do not file one, write "None."]</w:t>
      </w:r>
    </w:p>
    <w:p>
      <w:pPr>
        <w:shd w:fill="EEF2F7" w:color="auto" w:val="clear"/>
        <w:spacing w:after="120"/>
        <w:ind w:left="360" w:right="360"/>
      </w:pPr>
      <w:r>
        <w:t xml:space="preserve">You MUST use the headlines and numbering of the template in your submission.</w:t>
      </w:r>
    </w:p>
    <w:p>
      <w:pPr>
        <w:pStyle w:val="Heading1"/>
      </w:pPr>
      <w:r>
        <w:t xml:space="preserve">Week 3: Prosecution Case</w:t>
      </w:r>
    </w:p>
    <w:p>
      <w:pPr>
        <w:spacing w:after="160" w:before="0"/>
      </w:pPr>
      <w:r>
        <w:rPr>
          <w:i/>
          <w:iCs/>
        </w:rPr>
        <w:t xml:space="preserve">This is the prosecution's main event - the fullest, most complete version of your legal argument you will produce before closing. Everything downstream depends on what you put down here: both defense cases in Week 4 will be built specifically to undermine it, and the bench's judgment will rest on the record you build from this week on. Across your team, this is also the moment to make sure your theory of each respondent's responsibility lines up with how the other counts are framing it - inconsistent theories across counts are exactly the kind of opening the defense teams are looking for.</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outline of your full Count 1 legal argument: which element you will argue first, what evidence supports each element, how you intend to argue that each respondent is responsible, and what share of responsibility you intend to argue each bears.</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does the overall prosecution case read as a coherent whole across counts? Are there shared arguments about each respondent's responsibility that should be made consistently?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1 Prosecution Case Submission. This is your fullest IRAC of the trial so far: argue systematically that each element of the count, as you have identified it under the relevant Mir law, is established, citing specific evidence from the trial record for each element. Make the case for the responsibility of both PSSR and ISAM, addressing each respondent on its own terms - your theories may differ - and state the share of responsibility you argue each bears. If a document entered the trial record this week that bears on Count 1, address its implications directly - do not leave it unaddressed.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Prosecution Case Submission</w:t>
      </w:r>
    </w:p>
    <w:p>
      <w:pPr>
        <w:pStyle w:val="ListParagraph"/>
        <w:numPr>
          <w:ilvl w:val="0"/>
          <w:numId w:val="5"/>
        </w:numPr>
      </w:pPr>
      <w:r>
        <w:rPr>
          <w:b/>
          <w:bCs/>
        </w:rPr>
        <w:t xml:space="preserve">Element-by-Element Application:</w:t>
      </w:r>
      <w:r>
        <w:t xml:space="preserve"> </w:t>
      </w:r>
      <w:r>
        <w:rPr>
          <w:i/>
          <w:iCs/>
        </w:rPr>
        <w:t xml:space="preserve">[For each element of the count under the law you have identified, walk through your full IRAC: the issue, the rule, the evidence establishing it, and your conclusion. Repeat for every element.]</w:t>
      </w:r>
    </w:p>
    <w:p>
      <w:pPr>
        <w:pStyle w:val="ListParagraph"/>
        <w:numPr>
          <w:ilvl w:val="0"/>
          <w:numId w:val="5"/>
        </w:numPr>
      </w:pPr>
      <w:r>
        <w:rPr>
          <w:b/>
          <w:bCs/>
        </w:rPr>
        <w:t xml:space="preserve">Responsibility – PSSR:</w:t>
      </w:r>
      <w:r>
        <w:t xml:space="preserve"> </w:t>
      </w:r>
      <w:r>
        <w:rPr>
          <w:i/>
          <w:iCs/>
        </w:rPr>
        <w:t xml:space="preserve">[State your theory of how PSSR is responsible for the conduct charged, on its own terms.]</w:t>
      </w:r>
    </w:p>
    <w:p>
      <w:pPr>
        <w:pStyle w:val="ListParagraph"/>
        <w:numPr>
          <w:ilvl w:val="0"/>
          <w:numId w:val="5"/>
        </w:numPr>
      </w:pPr>
      <w:r>
        <w:rPr>
          <w:b/>
          <w:bCs/>
        </w:rPr>
        <w:t xml:space="preserve">Responsibility – ISAM:</w:t>
      </w:r>
      <w:r>
        <w:t xml:space="preserve"> </w:t>
      </w:r>
      <w:r>
        <w:rPr>
          <w:i/>
          <w:iCs/>
        </w:rPr>
        <w:t xml:space="preserve">[State your theory of how ISAM is responsible for the conduct charged, on its own terms (its theory may differ from PSSR's).]</w:t>
      </w:r>
    </w:p>
    <w:p>
      <w:pPr>
        <w:pStyle w:val="ListParagraph"/>
        <w:numPr>
          <w:ilvl w:val="0"/>
          <w:numId w:val="5"/>
        </w:numPr>
      </w:pPr>
      <w:r>
        <w:rPr>
          <w:b/>
          <w:bCs/>
        </w:rPr>
        <w:t xml:space="preserve">Share of Responsibility:</w:t>
      </w:r>
      <w:r>
        <w:t xml:space="preserve"> </w:t>
      </w:r>
      <w:r>
        <w:rPr>
          <w:i/>
          <w:iCs/>
        </w:rPr>
        <w:t xml:space="preserve">[State the share of responsibility you argue each respondent bears, and why.]</w:t>
      </w:r>
    </w:p>
    <w:p>
      <w:pPr>
        <w:pStyle w:val="ListParagraph"/>
        <w:numPr>
          <w:ilvl w:val="0"/>
          <w:numId w:val="5"/>
        </w:numPr>
      </w:pPr>
      <w:r>
        <w:rPr>
          <w:b/>
          <w:bCs/>
        </w:rPr>
        <w:t xml:space="preserve">New Record Developments:</w:t>
      </w:r>
      <w:r>
        <w:t xml:space="preserve"> </w:t>
      </w:r>
      <w:r>
        <w:rPr>
          <w:i/>
          <w:iCs/>
        </w:rPr>
        <w:t xml:space="preserve">[If a document entered the trial record this week that bears on Count 1, address its implications directly.]</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Both defense teams' full cases and your own rebuttal are due the same day this week, which means you cannot wait to see what they file before responding - you have to read the signals they have already given (their openings, their preliminary motions, how the bench ruled on those) and make the strongest case you can against the positions they have staked out so far. This is normal, deliberate trial strategy, not a guessing game: real litigators routinely anticipate an opponent's case from what has already been filed. Stay coordinated with your teammates here too, since rebuttal arguments about each respondent's responsibility tend to apply across more than one count.</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The defense teams' full Week 4 cases are not filed until this Sunday - the same day your own rebuttal is due - so this week you are working from what they have already put on the record. Review both defense teams' Week 1 opening positions, their Week 2 preliminary motions, their Week 3 preliminary responses, and how the bench ruled on the motions. Post to your team which of their stated positions you believe are strongest and require direct rebuttal now, and where you expect their full cases to go based on these signals.</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are there rebuttal arguments - particularly on each respondent's responsibility - that should be made consistently across counts rather than independently?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1 Rebuttal Submission. Because the defense teams' full Week 4 cases are filed the same day as your rebuttal, your task this week is to respond to the specific legal and evidentiary positions they have already put on the record - their Week 1 opening positions, their Week 2 preliminary motions, their Week 3 preliminary responses, and how the bench ruled on the motions - not to submissions you have not yet seen. Use IRAC to structure your response to each position: what issue have they raised, what rule are they relying on, and why does your Application show their position fails or yours holds. Address both defense teams. Do not simply restate your Week 3 case. Reinforce your strongest evidence where it has been challenged. You will engage with the defense teams' full Week 4 cases directly in your Week 5 closing, once they are part of the trial record. If a document entered the trial record this week that bears on Count 1,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Rebuttal Submission</w:t>
      </w:r>
    </w:p>
    <w:p>
      <w:pPr>
        <w:pStyle w:val="ListParagraph"/>
        <w:numPr>
          <w:ilvl w:val="0"/>
          <w:numId w:val="6"/>
        </w:numPr>
      </w:pPr>
      <w:r>
        <w:rPr>
          <w:b/>
          <w:bCs/>
        </w:rPr>
        <w:t xml:space="preserve">Defense Position Identified:</w:t>
      </w:r>
      <w:r>
        <w:t xml:space="preserve"> </w:t>
      </w:r>
      <w:r>
        <w:rPr>
          <w:i/>
          <w:iCs/>
        </w:rPr>
        <w:t xml:space="preserve">[Name the specific position a defense team has staked out so far - from its Week 1 opening, its Week 2 motion, its Week 3 preliminary response, or how the bench ruled on its motion - and say which team.]</w:t>
      </w:r>
    </w:p>
    <w:p>
      <w:pPr>
        <w:pStyle w:val="ListParagraph"/>
        <w:numPr>
          <w:ilvl w:val="0"/>
          <w:numId w:val="6"/>
        </w:numPr>
      </w:pPr>
      <w:r>
        <w:rPr>
          <w:b/>
          <w:bCs/>
        </w:rPr>
        <w:t xml:space="preserve">Their Issue and Rule:</w:t>
      </w:r>
      <w:r>
        <w:t xml:space="preserve"> </w:t>
      </w:r>
      <w:r>
        <w:rPr>
          <w:i/>
          <w:iCs/>
        </w:rPr>
        <w:t xml:space="preserve">[State the issue and rule that defense team appears to be relying on for that position.]</w:t>
      </w:r>
    </w:p>
    <w:p>
      <w:pPr>
        <w:pStyle w:val="ListParagraph"/>
        <w:numPr>
          <w:ilvl w:val="0"/>
          <w:numId w:val="6"/>
        </w:numPr>
      </w:pPr>
      <w:r>
        <w:rPr>
          <w:b/>
          <w:bCs/>
        </w:rPr>
        <w:t xml:space="preserve">Why Your Application Shows Their Position Fails or Yours Holds:</w:t>
      </w:r>
      <w:r>
        <w:t xml:space="preserve"> </w:t>
      </w:r>
      <w:r>
        <w:rPr>
          <w:i/>
          <w:iCs/>
        </w:rPr>
        <w:t xml:space="preserve">[Use your evidence and reasoning to show why that specific position does not hold, or why your case survives it. Repeat this three-part structure for each position you are rebutting, covering both defense teams.]</w:t>
      </w:r>
    </w:p>
    <w:p>
      <w:pPr>
        <w:pStyle w:val="ListParagraph"/>
        <w:numPr>
          <w:ilvl w:val="0"/>
          <w:numId w:val="6"/>
        </w:numPr>
      </w:pPr>
      <w:r>
        <w:rPr>
          <w:b/>
          <w:bCs/>
        </w:rPr>
        <w:t xml:space="preserve">Strongest Evidence Reinforced:</w:t>
      </w:r>
      <w:r>
        <w:t xml:space="preserve"> </w:t>
      </w:r>
      <w:r>
        <w:rPr>
          <w:i/>
          <w:iCs/>
        </w:rPr>
        <w:t xml:space="preserve">[Identify where your evidence has been challenged and reinforce it directly - do not simply restate your Week 3 case.]</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before judgment, and it works differently from every week before it: you are not introducing anything new, you are sharpening what is already on the record into its strongest possible form, now that you can finally see both defense teams' complete cases. Treat it as a genuine revision, not a victory lap - the bench decides the case this same week, on the record as it stood at the end of Week 4. As a team, the counts are filed separately but form one closing record, so a closing that reads as part of one coherent prosecution effort lands better than separate counts that happen to share respondents.</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Read both defense teams' full Week 4 Case Submissions, now part of the trial record, along with the bench's rulings issued so far. Post to your team a concrete outline of your closing argument that directly engages the strongest points of each defense team's actual case.</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does the prosecution's closing present a unified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1 Closing Argument. Treat this as a revise-and-resubmit, not a copy-paste of your earlier filings - this is your opportunity to produce the single most polished, sharpest version of your Count 1 case, drawing on everything you have learned across the trial: the gaps the defense teams exposed, the questions the bench has raised, and anything your own self-review or your teammates' feedback flagged in earlier weeks. You should not introduce evidence or legal theories that are not already on the trial record, but you are expected to revise weak phrasing, strengthen your weakest element, and genuinely improve on your own earlier work rather than restating it. Walk through your IRAC one final time for each element of the count, articulate why each respondent is responsible and the share each bears, explain why the evidence meets the standard of proof set by the HELM Rules, respond directly to the strongest arguments in each defense team's Count 1 case as filed in Week 4, and address the legal questions the bench has raised across its rulings to date. Because this is the most polished version of your full case,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Closing Argument</w:t>
      </w:r>
    </w:p>
    <w:p>
      <w:pPr>
        <w:pStyle w:val="ListParagraph"/>
        <w:numPr>
          <w:ilvl w:val="0"/>
          <w:numId w:val="7"/>
        </w:numPr>
      </w:pPr>
      <w:r>
        <w:rPr>
          <w:b/>
          <w:bCs/>
        </w:rPr>
        <w:t xml:space="preserve">Final Element-by-Element IRAC:</w:t>
      </w:r>
      <w:r>
        <w:t xml:space="preserve"> </w:t>
      </w:r>
      <w:r>
        <w:rPr>
          <w:i/>
          <w:iCs/>
        </w:rPr>
        <w:t xml:space="preserve">[Walk through your IRAC one final time for every element of the count, in its strongest and most polished form.]</w:t>
      </w:r>
    </w:p>
    <w:p>
      <w:pPr>
        <w:pStyle w:val="ListParagraph"/>
        <w:numPr>
          <w:ilvl w:val="0"/>
          <w:numId w:val="7"/>
        </w:numPr>
      </w:pPr>
      <w:r>
        <w:rPr>
          <w:b/>
          <w:bCs/>
        </w:rPr>
        <w:t xml:space="preserve">Responsibility – PSSR (Final):</w:t>
      </w:r>
      <w:r>
        <w:t xml:space="preserve"> </w:t>
      </w:r>
      <w:r>
        <w:rPr>
          <w:i/>
          <w:iCs/>
        </w:rPr>
        <w:t xml:space="preserve">[State your final position on PSSR's responsibility.]</w:t>
      </w:r>
    </w:p>
    <w:p>
      <w:pPr>
        <w:pStyle w:val="ListParagraph"/>
        <w:numPr>
          <w:ilvl w:val="0"/>
          <w:numId w:val="7"/>
        </w:numPr>
      </w:pPr>
      <w:r>
        <w:rPr>
          <w:b/>
          <w:bCs/>
        </w:rPr>
        <w:t xml:space="preserve">Responsibility – ISAM (Final):</w:t>
      </w:r>
      <w:r>
        <w:t xml:space="preserve"> </w:t>
      </w:r>
      <w:r>
        <w:rPr>
          <w:i/>
          <w:iCs/>
        </w:rPr>
        <w:t xml:space="preserve">[State your final position on ISAM's responsibility.]</w:t>
      </w:r>
    </w:p>
    <w:p>
      <w:pPr>
        <w:pStyle w:val="ListParagraph"/>
        <w:numPr>
          <w:ilvl w:val="0"/>
          <w:numId w:val="7"/>
        </w:numPr>
      </w:pPr>
      <w:r>
        <w:rPr>
          <w:b/>
          <w:bCs/>
        </w:rPr>
        <w:t xml:space="preserve">Share of Responsibility and Standard of Proof:</w:t>
      </w:r>
      <w:r>
        <w:t xml:space="preserve"> </w:t>
      </w:r>
      <w:r>
        <w:rPr>
          <w:i/>
          <w:iCs/>
        </w:rPr>
        <w:t xml:space="preserve">[State the share of responsibility you argue each respondent bears, and explain why the evidence meets the standard of proof.]</w:t>
      </w:r>
    </w:p>
    <w:p>
      <w:pPr>
        <w:pStyle w:val="ListParagraph"/>
        <w:numPr>
          <w:ilvl w:val="0"/>
          <w:numId w:val="7"/>
        </w:numPr>
      </w:pPr>
      <w:r>
        <w:rPr>
          <w:b/>
          <w:bCs/>
        </w:rPr>
        <w:t xml:space="preserve">Response to the Defense Teams' Week 4 Cases:</w:t>
      </w:r>
      <w:r>
        <w:t xml:space="preserve"> </w:t>
      </w:r>
      <w:r>
        <w:rPr>
          <w:i/>
          <w:iCs/>
        </w:rPr>
        <w:t xml:space="preserve">[Identify the strongest arguments in each defense team's actual Week 4 Count 1 case and respond to them directly.]</w:t>
      </w:r>
    </w:p>
    <w:p>
      <w:pPr>
        <w:pStyle w:val="ListParagraph"/>
        <w:numPr>
          <w:ilvl w:val="0"/>
          <w:numId w:val="7"/>
        </w:numPr>
      </w:pPr>
      <w:r>
        <w:rPr>
          <w:b/>
          <w:bCs/>
        </w:rPr>
        <w:t xml:space="preserve">Response to the Bench's Rulings to Date:</w:t>
      </w:r>
      <w:r>
        <w:t xml:space="preserve"> </w:t>
      </w:r>
      <w:r>
        <w:rPr>
          <w:i/>
          <w:iCs/>
        </w:rPr>
        <w:t xml:space="preserve">[Identify the legal questions the bench has raised across its rulings so far and address them.]</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1 Counsel - Prosecution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1 Counsel - Prosecution</dc:title>
  <dc:subject>POLS 369 Mock Trial 2 — The Black Tide</dc:subject>
  <dc:creator>POLS 369 Mock Trial</dc:creator>
  <dc:description>Trial Guide - Count 1 Counsel - Prosecution</dc:description>
  <cp:lastModifiedBy>POLS 369 Mock Trial</cp:lastModifiedBy>
  <cp:revision>1</cp:revision>
  <dcterms:created xsi:type="dcterms:W3CDTF">2026-11-03T04:11:24.352Z</dcterms:created>
  <dcterms:modified xsi:type="dcterms:W3CDTF">2026-11-03T04:11:24.352Z</dcterms:modified>
  <dc:language>en-US</dc:language>
</cp:coreProperties>
</file>

<file path=docProps/custom.xml><?xml version="1.0" encoding="utf-8"?>
<Properties xmlns="http://schemas.openxmlformats.org/officeDocument/2006/custom-properties" xmlns:vt="http://schemas.openxmlformats.org/officeDocument/2006/docPropsVTypes"/>
</file>