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PATNA SURAT SEA RESOURCES</w:t>
      </w:r>
    </w:p>
    <w:p>
      <w:pPr>
        <w:pStyle w:val="Title"/>
        <w:jc w:val="center"/>
      </w:pPr>
      <w:r>
        <w:t xml:space="preserve">PRODUCTION RECORDS AND ROYALTY STATEMENTS</w:t>
      </w:r>
    </w:p>
    <w:p>
      <w:pPr>
        <w:spacing w:after="80"/>
        <w:jc w:val="center"/>
      </w:pPr>
      <w:r>
        <w:rPr>
          <w:b/>
          <w:bCs/>
          <w:color w:val="1B3A6B"/>
        </w:rPr>
        <w:t xml:space="preserve">PSSR Block C (License ISAM/LIC/EXP/001)</w:t>
      </w:r>
    </w:p>
    <w:p>
      <w:pPr>
        <w:spacing w:after="120"/>
        <w:jc w:val="center"/>
      </w:pPr>
      <w:r>
        <w:rPr>
          <w:i/>
          <w:iCs/>
        </w:rPr>
        <w:t xml:space="preserve">Quarterly production records and royalty statements submitted by Patna Surat Sea Resources (PSSR) to the International Seabed Authority of Mir under the license and Regulation 20 of the DEEP Regulations, from the start of commercial production to the suspension of operations. Produced by PSSR under Article 7 of REEF. Days are counted from the passage of Hurricane Yolanda (Day 0).</w:t>
      </w:r>
    </w:p>
    <w:p>
      <w:pPr>
        <w:pStyle w:val="Heading1"/>
      </w:pPr>
      <w:r>
        <w:t xml:space="preserve">1. ANNUAL PRODUCTION</w:t>
      </w:r>
    </w:p>
    <w:p>
      <w:pPr>
        <w:pStyle w:val="Heading2"/>
      </w:pPr>
      <w:r>
        <w:t xml:space="preserve">Table 1 — Nodules recovered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41"/>
        <w:gridCol w:w="1788"/>
        <w:gridCol w:w="1494"/>
        <w:gridCol w:w="4437"/>
      </w:tblGrid>
      <w:tr>
        <w:trPr>
          <w:cantSplit/>
          <w:tblHeader/>
        </w:trPr>
        <w:tc>
          <w:tcPr>
            <w:tcW w:type="dxa" w:w="1641"/>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Production year</w:t>
            </w:r>
          </w:p>
        </w:tc>
        <w:tc>
          <w:tcPr>
            <w:tcW w:type="dxa" w:w="1788"/>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Wet tonnes recovered</w:t>
            </w:r>
          </w:p>
        </w:tc>
        <w:tc>
          <w:tcPr>
            <w:tcW w:type="dxa" w:w="1494"/>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Dry tonnes</w:t>
            </w:r>
          </w:p>
        </w:tc>
        <w:tc>
          <w:tcPr>
            <w:tcW w:type="dxa" w:w="4437"/>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Notes</w:t>
            </w:r>
          </w:p>
        </w:tc>
      </w:tr>
      <w:tr>
        <w:trPr>
          <w:cantSplit/>
          <w:tblHeader w:val="off"/>
        </w:trPr>
        <w:tc>
          <w:tcPr>
            <w:tcW w:type="dxa" w:w="164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1</w:t>
            </w:r>
          </w:p>
        </w:tc>
        <w:tc>
          <w:tcPr>
            <w:tcW w:type="dxa" w:w="178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600,000</w:t>
            </w:r>
          </w:p>
        </w:tc>
        <w:tc>
          <w:tcPr>
            <w:tcW w:type="dxa" w:w="149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420,000</w:t>
            </w:r>
          </w:p>
        </w:tc>
        <w:tc>
          <w:tcPr>
            <w:tcW w:type="dxa" w:w="443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First year of commercial production; output increased each quarter as the system was brought to full capacity.</w:t>
            </w:r>
          </w:p>
        </w:tc>
      </w:tr>
      <w:tr>
        <w:trPr>
          <w:cantSplit/>
          <w:tblHeader w:val="off"/>
        </w:trPr>
        <w:tc>
          <w:tcPr>
            <w:tcW w:type="dxa" w:w="164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2</w:t>
            </w:r>
          </w:p>
        </w:tc>
        <w:tc>
          <w:tcPr>
            <w:tcW w:type="dxa" w:w="178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1,000,000</w:t>
            </w:r>
          </w:p>
        </w:tc>
        <w:tc>
          <w:tcPr>
            <w:tcW w:type="dxa" w:w="149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700,000</w:t>
            </w:r>
          </w:p>
        </w:tc>
        <w:tc>
          <w:tcPr>
            <w:tcW w:type="dxa" w:w="443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Full production.</w:t>
            </w:r>
          </w:p>
        </w:tc>
      </w:tr>
      <w:tr>
        <w:trPr>
          <w:cantSplit/>
          <w:tblHeader w:val="off"/>
        </w:trPr>
        <w:tc>
          <w:tcPr>
            <w:tcW w:type="dxa" w:w="164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3</w:t>
            </w:r>
          </w:p>
        </w:tc>
        <w:tc>
          <w:tcPr>
            <w:tcW w:type="dxa" w:w="178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950,000</w:t>
            </w:r>
          </w:p>
        </w:tc>
        <w:tc>
          <w:tcPr>
            <w:tcW w:type="dxa" w:w="149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665,000</w:t>
            </w:r>
          </w:p>
        </w:tc>
        <w:tc>
          <w:tcPr>
            <w:tcW w:type="dxa" w:w="443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Production stopped on the Secretary-General's order of Day 41 (see note 5).</w:t>
            </w:r>
          </w:p>
        </w:tc>
      </w:tr>
      <w:tr>
        <w:trPr>
          <w:cantSplit/>
          <w:tblHeader w:val="off"/>
        </w:trPr>
        <w:tc>
          <w:tcPr>
            <w:tcW w:type="dxa" w:w="164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Total</w:t>
            </w:r>
          </w:p>
        </w:tc>
        <w:tc>
          <w:tcPr>
            <w:tcW w:type="dxa" w:w="178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2,550,000</w:t>
            </w:r>
          </w:p>
        </w:tc>
        <w:tc>
          <w:tcPr>
            <w:tcW w:type="dxa" w:w="149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1,785,000</w:t>
            </w:r>
          </w:p>
        </w:tc>
        <w:tc>
          <w:tcPr>
            <w:tcW w:type="dxa" w:w="4437"/>
            <w:tcBorders>
              <w:top w:val="single" w:color="8A9AA8" w:sz="4"/>
              <w:left w:val="single" w:color="8A9AA8" w:sz="4"/>
              <w:bottom w:val="single" w:color="8A9AA8" w:sz="4"/>
              <w:right w:val="single" w:color="8A9AA8" w:sz="4"/>
            </w:tcBorders>
            <w:tcMar>
              <w:top w:type="dxa" w:w="60"/>
              <w:left w:type="dxa" w:w="100"/>
              <w:bottom w:type="dxa" w:w="60"/>
              <w:right w:type="dxa" w:w="100"/>
            </w:tcMar>
          </w:tcPr>
          <w:p/>
        </w:tc>
      </w:tr>
    </w:tbl>
    <w:p>
      <w:pPr>
        <w:pStyle w:val="Heading2"/>
      </w:pPr>
      <w:r>
        <w:t xml:space="preserve">Table 2 — Average grade of nodules recovered (percent of dry weight)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44"/>
        <w:gridCol w:w="1466"/>
        <w:gridCol w:w="1378"/>
        <w:gridCol w:w="1378"/>
        <w:gridCol w:w="1378"/>
        <w:gridCol w:w="2116"/>
      </w:tblGrid>
      <w:tr>
        <w:trPr>
          <w:cantSplit/>
          <w:tblHeader/>
        </w:trPr>
        <w:tc>
          <w:tcPr>
            <w:tcW w:type="dxa" w:w="1644"/>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Production year</w:t>
            </w:r>
          </w:p>
        </w:tc>
        <w:tc>
          <w:tcPr>
            <w:tcW w:type="dxa" w:w="1466"/>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Manganese</w:t>
            </w:r>
          </w:p>
        </w:tc>
        <w:tc>
          <w:tcPr>
            <w:tcW w:type="dxa" w:w="1378"/>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Nickel</w:t>
            </w:r>
          </w:p>
        </w:tc>
        <w:tc>
          <w:tcPr>
            <w:tcW w:type="dxa" w:w="1378"/>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Copper</w:t>
            </w:r>
          </w:p>
        </w:tc>
        <w:tc>
          <w:tcPr>
            <w:tcW w:type="dxa" w:w="1378"/>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Cobalt</w:t>
            </w:r>
          </w:p>
        </w:tc>
        <w:tc>
          <w:tcPr>
            <w:tcW w:type="dxa" w:w="2116"/>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Rare earth elements and yttrium</w:t>
            </w:r>
          </w:p>
        </w:tc>
      </w:tr>
      <w:tr>
        <w:trPr>
          <w:cantSplit/>
          <w:tblHeader w:val="off"/>
        </w:trPr>
        <w:tc>
          <w:tcPr>
            <w:tcW w:type="dxa" w:w="16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1</w:t>
            </w:r>
          </w:p>
        </w:tc>
        <w:tc>
          <w:tcPr>
            <w:tcW w:type="dxa" w:w="14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29.1</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1.31</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1.12</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0.21</w:t>
            </w:r>
          </w:p>
        </w:tc>
        <w:tc>
          <w:tcPr>
            <w:tcW w:type="dxa" w:w="211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0.080</w:t>
            </w:r>
          </w:p>
        </w:tc>
      </w:tr>
      <w:tr>
        <w:trPr>
          <w:cantSplit/>
          <w:tblHeader w:val="off"/>
        </w:trPr>
        <w:tc>
          <w:tcPr>
            <w:tcW w:type="dxa" w:w="16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2</w:t>
            </w:r>
          </w:p>
        </w:tc>
        <w:tc>
          <w:tcPr>
            <w:tcW w:type="dxa" w:w="14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28.8</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1.29</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1.08</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0.20</w:t>
            </w:r>
          </w:p>
        </w:tc>
        <w:tc>
          <w:tcPr>
            <w:tcW w:type="dxa" w:w="211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0.078</w:t>
            </w:r>
          </w:p>
        </w:tc>
      </w:tr>
      <w:tr>
        <w:trPr>
          <w:cantSplit/>
          <w:tblHeader w:val="off"/>
        </w:trPr>
        <w:tc>
          <w:tcPr>
            <w:tcW w:type="dxa" w:w="16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3</w:t>
            </w:r>
          </w:p>
        </w:tc>
        <w:tc>
          <w:tcPr>
            <w:tcW w:type="dxa" w:w="14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29.0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1.30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1.10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0.20</w:t>
            </w:r>
          </w:p>
        </w:tc>
        <w:tc>
          <w:tcPr>
            <w:tcW w:type="dxa" w:w="211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0.079</w:t>
            </w:r>
          </w:p>
        </w:tc>
      </w:tr>
    </w:tbl>
    <w:p>
      <w:pPr>
        <w:pStyle w:val="Heading2"/>
      </w:pPr>
      <w:r>
        <w:t xml:space="preserve">Table 3 — Metals contained in nodules recovered (tonnes)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44"/>
        <w:gridCol w:w="1466"/>
        <w:gridCol w:w="1378"/>
        <w:gridCol w:w="1378"/>
        <w:gridCol w:w="1378"/>
        <w:gridCol w:w="2116"/>
      </w:tblGrid>
      <w:tr>
        <w:trPr>
          <w:cantSplit/>
          <w:tblHeader/>
        </w:trPr>
        <w:tc>
          <w:tcPr>
            <w:tcW w:type="dxa" w:w="1644"/>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Production year</w:t>
            </w:r>
          </w:p>
        </w:tc>
        <w:tc>
          <w:tcPr>
            <w:tcW w:type="dxa" w:w="1466"/>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Manganese</w:t>
            </w:r>
          </w:p>
        </w:tc>
        <w:tc>
          <w:tcPr>
            <w:tcW w:type="dxa" w:w="1378"/>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Nickel</w:t>
            </w:r>
          </w:p>
        </w:tc>
        <w:tc>
          <w:tcPr>
            <w:tcW w:type="dxa" w:w="1378"/>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Copper</w:t>
            </w:r>
          </w:p>
        </w:tc>
        <w:tc>
          <w:tcPr>
            <w:tcW w:type="dxa" w:w="1378"/>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Cobalt</w:t>
            </w:r>
          </w:p>
        </w:tc>
        <w:tc>
          <w:tcPr>
            <w:tcW w:type="dxa" w:w="2116"/>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Rare earth elements and yttrium</w:t>
            </w:r>
          </w:p>
        </w:tc>
      </w:tr>
      <w:tr>
        <w:trPr>
          <w:cantSplit/>
          <w:tblHeader w:val="off"/>
        </w:trPr>
        <w:tc>
          <w:tcPr>
            <w:tcW w:type="dxa" w:w="16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1</w:t>
            </w:r>
          </w:p>
        </w:tc>
        <w:tc>
          <w:tcPr>
            <w:tcW w:type="dxa" w:w="14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122,200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5,500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4,700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880</w:t>
            </w:r>
          </w:p>
        </w:tc>
        <w:tc>
          <w:tcPr>
            <w:tcW w:type="dxa" w:w="211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340</w:t>
            </w:r>
          </w:p>
        </w:tc>
      </w:tr>
      <w:tr>
        <w:trPr>
          <w:cantSplit/>
          <w:tblHeader w:val="off"/>
        </w:trPr>
        <w:tc>
          <w:tcPr>
            <w:tcW w:type="dxa" w:w="16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2</w:t>
            </w:r>
          </w:p>
        </w:tc>
        <w:tc>
          <w:tcPr>
            <w:tcW w:type="dxa" w:w="14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201,600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9,030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7,560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1,400</w:t>
            </w:r>
          </w:p>
        </w:tc>
        <w:tc>
          <w:tcPr>
            <w:tcW w:type="dxa" w:w="211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550</w:t>
            </w:r>
          </w:p>
        </w:tc>
      </w:tr>
      <w:tr>
        <w:trPr>
          <w:cantSplit/>
          <w:tblHeader w:val="off"/>
        </w:trPr>
        <w:tc>
          <w:tcPr>
            <w:tcW w:type="dxa" w:w="16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3</w:t>
            </w:r>
          </w:p>
        </w:tc>
        <w:tc>
          <w:tcPr>
            <w:tcW w:type="dxa" w:w="14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192,900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8,650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7,320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1,330</w:t>
            </w:r>
          </w:p>
        </w:tc>
        <w:tc>
          <w:tcPr>
            <w:tcW w:type="dxa" w:w="211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530</w:t>
            </w:r>
          </w:p>
        </w:tc>
      </w:tr>
      <w:tr>
        <w:trPr>
          <w:cantSplit/>
          <w:tblHeader w:val="off"/>
        </w:trPr>
        <w:tc>
          <w:tcPr>
            <w:tcW w:type="dxa" w:w="16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Total</w:t>
            </w:r>
          </w:p>
        </w:tc>
        <w:tc>
          <w:tcPr>
            <w:tcW w:type="dxa" w:w="14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516,700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23,180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19,580</w:t>
            </w:r>
          </w:p>
        </w:tc>
        <w:tc>
          <w:tcPr>
            <w:tcW w:type="dxa" w:w="137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3,610</w:t>
            </w:r>
          </w:p>
        </w:tc>
        <w:tc>
          <w:tcPr>
            <w:tcW w:type="dxa" w:w="211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1,420</w:t>
            </w:r>
          </w:p>
        </w:tc>
      </w:tr>
    </w:tbl>
    <w:p>
      <w:pPr>
        <w:pStyle w:val="Heading1"/>
      </w:pPr>
      <w:r>
        <w:t xml:space="preserve">2. RARE EARTH ELEMENTS</w:t>
      </w:r>
    </w:p>
    <w:p>
      <w:pPr>
        <w:pStyle w:val="Heading2"/>
      </w:pPr>
      <w:r>
        <w:t xml:space="preserve">Table 4 — Rare earth elements and yttrium recovered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34"/>
        <w:gridCol w:w="2589"/>
        <w:gridCol w:w="2233"/>
        <w:gridCol w:w="2804"/>
      </w:tblGrid>
      <w:tr>
        <w:trPr>
          <w:cantSplit/>
          <w:tblHeader/>
        </w:trPr>
        <w:tc>
          <w:tcPr>
            <w:tcW w:type="dxa" w:w="1734"/>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Production year</w:t>
            </w:r>
          </w:p>
        </w:tc>
        <w:tc>
          <w:tcPr>
            <w:tcW w:type="dxa" w:w="2589"/>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Contained in nodules recovered (tonnes)</w:t>
            </w:r>
          </w:p>
        </w:tc>
        <w:tc>
          <w:tcPr>
            <w:tcW w:type="dxa" w:w="2233"/>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Recovered as product (tonnes)</w:t>
            </w:r>
          </w:p>
        </w:tc>
        <w:tc>
          <w:tcPr>
            <w:tcW w:type="dxa" w:w="2804"/>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Share of contained amount recovered (percent)</w:t>
            </w:r>
          </w:p>
        </w:tc>
      </w:tr>
      <w:tr>
        <w:trPr>
          <w:cantSplit/>
          <w:tblHeader w:val="off"/>
        </w:trPr>
        <w:tc>
          <w:tcPr>
            <w:tcW w:type="dxa" w:w="173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1</w:t>
            </w:r>
          </w:p>
        </w:tc>
        <w:tc>
          <w:tcPr>
            <w:tcW w:type="dxa" w:w="258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340</w:t>
            </w:r>
          </w:p>
        </w:tc>
        <w:tc>
          <w:tcPr>
            <w:tcW w:type="dxa" w:w="223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50</w:t>
            </w:r>
          </w:p>
        </w:tc>
        <w:tc>
          <w:tcPr>
            <w:tcW w:type="dxa" w:w="280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15</w:t>
            </w:r>
          </w:p>
        </w:tc>
      </w:tr>
      <w:tr>
        <w:trPr>
          <w:cantSplit/>
          <w:tblHeader w:val="off"/>
        </w:trPr>
        <w:tc>
          <w:tcPr>
            <w:tcW w:type="dxa" w:w="173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2</w:t>
            </w:r>
          </w:p>
        </w:tc>
        <w:tc>
          <w:tcPr>
            <w:tcW w:type="dxa" w:w="258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550</w:t>
            </w:r>
          </w:p>
        </w:tc>
        <w:tc>
          <w:tcPr>
            <w:tcW w:type="dxa" w:w="223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140</w:t>
            </w:r>
          </w:p>
        </w:tc>
        <w:tc>
          <w:tcPr>
            <w:tcW w:type="dxa" w:w="280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25</w:t>
            </w:r>
          </w:p>
        </w:tc>
      </w:tr>
      <w:tr>
        <w:trPr>
          <w:cantSplit/>
          <w:tblHeader w:val="off"/>
        </w:trPr>
        <w:tc>
          <w:tcPr>
            <w:tcW w:type="dxa" w:w="173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3</w:t>
            </w:r>
          </w:p>
        </w:tc>
        <w:tc>
          <w:tcPr>
            <w:tcW w:type="dxa" w:w="258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530</w:t>
            </w:r>
          </w:p>
        </w:tc>
        <w:tc>
          <w:tcPr>
            <w:tcW w:type="dxa" w:w="223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160</w:t>
            </w:r>
          </w:p>
        </w:tc>
        <w:tc>
          <w:tcPr>
            <w:tcW w:type="dxa" w:w="280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30</w:t>
            </w:r>
          </w:p>
        </w:tc>
      </w:tr>
      <w:tr>
        <w:trPr>
          <w:cantSplit/>
          <w:tblHeader w:val="off"/>
        </w:trPr>
        <w:tc>
          <w:tcPr>
            <w:tcW w:type="dxa" w:w="173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Total</w:t>
            </w:r>
          </w:p>
        </w:tc>
        <w:tc>
          <w:tcPr>
            <w:tcW w:type="dxa" w:w="258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1,420</w:t>
            </w:r>
          </w:p>
        </w:tc>
        <w:tc>
          <w:tcPr>
            <w:tcW w:type="dxa" w:w="2233"/>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350</w:t>
            </w:r>
          </w:p>
        </w:tc>
        <w:tc>
          <w:tcPr>
            <w:tcW w:type="dxa" w:w="280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25</w:t>
            </w:r>
          </w:p>
        </w:tc>
      </w:tr>
    </w:tbl>
    <w:p>
      <w:pPr>
        <w:pStyle w:val="Heading1"/>
      </w:pPr>
      <w:r>
        <w:t xml:space="preserve">3. ROYALTY STATEMENTS</w:t>
      </w:r>
    </w:p>
    <w:p>
      <w:pPr>
        <w:pStyle w:val="Heading2"/>
      </w:pPr>
      <w:r>
        <w:t xml:space="preserve">Table 5 — Share of the market value of contained metals (percent)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85"/>
        <w:gridCol w:w="1311"/>
        <w:gridCol w:w="1274"/>
        <w:gridCol w:w="1274"/>
        <w:gridCol w:w="1274"/>
        <w:gridCol w:w="1580"/>
        <w:gridCol w:w="1262"/>
      </w:tblGrid>
      <w:tr>
        <w:trPr>
          <w:cantSplit/>
          <w:tblHeader/>
        </w:trPr>
        <w:tc>
          <w:tcPr>
            <w:tcW w:type="dxa" w:w="1385"/>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Production year</w:t>
            </w:r>
          </w:p>
        </w:tc>
        <w:tc>
          <w:tcPr>
            <w:tcW w:type="dxa" w:w="1311"/>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Manganese</w:t>
            </w:r>
          </w:p>
        </w:tc>
        <w:tc>
          <w:tcPr>
            <w:tcW w:type="dxa" w:w="1274"/>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Nickel</w:t>
            </w:r>
          </w:p>
        </w:tc>
        <w:tc>
          <w:tcPr>
            <w:tcW w:type="dxa" w:w="1274"/>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Copper</w:t>
            </w:r>
          </w:p>
        </w:tc>
        <w:tc>
          <w:tcPr>
            <w:tcW w:type="dxa" w:w="1274"/>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Cobalt</w:t>
            </w:r>
          </w:p>
        </w:tc>
        <w:tc>
          <w:tcPr>
            <w:tcW w:type="dxa" w:w="1580"/>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Rare earth elements and yttrium</w:t>
            </w:r>
          </w:p>
        </w:tc>
        <w:tc>
          <w:tcPr>
            <w:tcW w:type="dxa" w:w="1262"/>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Total</w:t>
            </w:r>
          </w:p>
        </w:tc>
      </w:tr>
      <w:tr>
        <w:trPr>
          <w:cantSplit/>
          <w:tblHeader w:val="off"/>
        </w:trPr>
        <w:tc>
          <w:tcPr>
            <w:tcW w:type="dxa" w:w="1385"/>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1</w:t>
            </w:r>
          </w:p>
        </w:tc>
        <w:tc>
          <w:tcPr>
            <w:tcW w:type="dxa" w:w="131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29</w:t>
            </w:r>
          </w:p>
        </w:tc>
        <w:tc>
          <w:tcPr>
            <w:tcW w:type="dxa" w:w="127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37</w:t>
            </w:r>
          </w:p>
        </w:tc>
        <w:tc>
          <w:tcPr>
            <w:tcW w:type="dxa" w:w="127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17</w:t>
            </w:r>
          </w:p>
        </w:tc>
        <w:tc>
          <w:tcPr>
            <w:tcW w:type="dxa" w:w="127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13</w:t>
            </w:r>
          </w:p>
        </w:tc>
        <w:tc>
          <w:tcPr>
            <w:tcW w:type="dxa" w:w="158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4</w:t>
            </w:r>
          </w:p>
        </w:tc>
        <w:tc>
          <w:tcPr>
            <w:tcW w:type="dxa" w:w="126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100</w:t>
            </w:r>
          </w:p>
        </w:tc>
      </w:tr>
      <w:tr>
        <w:trPr>
          <w:cantSplit/>
          <w:tblHeader w:val="off"/>
        </w:trPr>
        <w:tc>
          <w:tcPr>
            <w:tcW w:type="dxa" w:w="1385"/>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2</w:t>
            </w:r>
          </w:p>
        </w:tc>
        <w:tc>
          <w:tcPr>
            <w:tcW w:type="dxa" w:w="131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30</w:t>
            </w:r>
          </w:p>
        </w:tc>
        <w:tc>
          <w:tcPr>
            <w:tcW w:type="dxa" w:w="127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36</w:t>
            </w:r>
          </w:p>
        </w:tc>
        <w:tc>
          <w:tcPr>
            <w:tcW w:type="dxa" w:w="127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18</w:t>
            </w:r>
          </w:p>
        </w:tc>
        <w:tc>
          <w:tcPr>
            <w:tcW w:type="dxa" w:w="127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12</w:t>
            </w:r>
          </w:p>
        </w:tc>
        <w:tc>
          <w:tcPr>
            <w:tcW w:type="dxa" w:w="158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4</w:t>
            </w:r>
          </w:p>
        </w:tc>
        <w:tc>
          <w:tcPr>
            <w:tcW w:type="dxa" w:w="126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100</w:t>
            </w:r>
          </w:p>
        </w:tc>
      </w:tr>
      <w:tr>
        <w:trPr>
          <w:cantSplit/>
          <w:tblHeader w:val="off"/>
        </w:trPr>
        <w:tc>
          <w:tcPr>
            <w:tcW w:type="dxa" w:w="1385"/>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3</w:t>
            </w:r>
          </w:p>
        </w:tc>
        <w:tc>
          <w:tcPr>
            <w:tcW w:type="dxa" w:w="131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31</w:t>
            </w:r>
          </w:p>
        </w:tc>
        <w:tc>
          <w:tcPr>
            <w:tcW w:type="dxa" w:w="127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34</w:t>
            </w:r>
          </w:p>
        </w:tc>
        <w:tc>
          <w:tcPr>
            <w:tcW w:type="dxa" w:w="127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19</w:t>
            </w:r>
          </w:p>
        </w:tc>
        <w:tc>
          <w:tcPr>
            <w:tcW w:type="dxa" w:w="127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12</w:t>
            </w:r>
          </w:p>
        </w:tc>
        <w:tc>
          <w:tcPr>
            <w:tcW w:type="dxa" w:w="1580"/>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4</w:t>
            </w:r>
          </w:p>
        </w:tc>
        <w:tc>
          <w:tcPr>
            <w:tcW w:type="dxa" w:w="126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100</w:t>
            </w:r>
          </w:p>
        </w:tc>
      </w:tr>
    </w:tbl>
    <w:p>
      <w:pPr>
        <w:pStyle w:val="Heading2"/>
      </w:pPr>
      <w:r>
        <w:t xml:space="preserve">Table 6 — Quarterly royalty statements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71"/>
        <w:gridCol w:w="1844"/>
        <w:gridCol w:w="1579"/>
        <w:gridCol w:w="1617"/>
        <w:gridCol w:w="1522"/>
        <w:gridCol w:w="1427"/>
      </w:tblGrid>
      <w:tr>
        <w:trPr>
          <w:cantSplit/>
          <w:tblHeader/>
        </w:trPr>
        <w:tc>
          <w:tcPr>
            <w:tcW w:type="dxa" w:w="1371"/>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Statement</w:t>
            </w:r>
          </w:p>
        </w:tc>
        <w:tc>
          <w:tcPr>
            <w:tcW w:type="dxa" w:w="1844"/>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Production quarter</w:t>
            </w:r>
          </w:p>
        </w:tc>
        <w:tc>
          <w:tcPr>
            <w:tcW w:type="dxa" w:w="1579"/>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Wet tonnes recovered</w:t>
            </w:r>
          </w:p>
        </w:tc>
        <w:tc>
          <w:tcPr>
            <w:tcW w:type="dxa" w:w="1617"/>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Royalty rate (percent)</w:t>
            </w:r>
          </w:p>
        </w:tc>
        <w:tc>
          <w:tcPr>
            <w:tcW w:type="dxa" w:w="1522"/>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Royalty due</w:t>
            </w:r>
          </w:p>
        </w:tc>
        <w:tc>
          <w:tcPr>
            <w:tcW w:type="dxa" w:w="1427"/>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Payment</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1, first quarter</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80,000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1, second quarter</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130,000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1, third quarter</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180,000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4</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1, fourth quarter</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210,000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5</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2, first quarter</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240,000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6</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2, second quarter</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250,000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7</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2, third quarter</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260,000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8</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2, fourth quarter</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250,000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9</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3, first quarter</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250,000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10</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3, second quarter</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260,000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11</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3, third quarter</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250,000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r>
        <w:trPr>
          <w:cantSplit/>
          <w:tblHeader w:val="off"/>
        </w:trPr>
        <w:tc>
          <w:tcPr>
            <w:tcW w:type="dxa" w:w="137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12</w:t>
            </w:r>
          </w:p>
        </w:tc>
        <w:tc>
          <w:tcPr>
            <w:tcW w:type="dxa" w:w="184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Year 3, fourth quarter (to Day 42)</w:t>
            </w:r>
          </w:p>
        </w:tc>
        <w:tc>
          <w:tcPr>
            <w:tcW w:type="dxa" w:w="157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190,000</w:t>
            </w:r>
          </w:p>
        </w:tc>
        <w:tc>
          <w:tcPr>
            <w:tcW w:type="dxa" w:w="161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w:t>
            </w:r>
          </w:p>
        </w:tc>
        <w:tc>
          <w:tcPr>
            <w:tcW w:type="dxa" w:w="152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Withheld (note 2)</w:t>
            </w:r>
          </w:p>
        </w:tc>
        <w:tc>
          <w:tcPr>
            <w:tcW w:type="dxa" w:w="1427"/>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Paid in full</w:t>
            </w:r>
          </w:p>
        </w:tc>
      </w:tr>
    </w:tbl>
    <w:p>
      <w:pPr>
        <w:pStyle w:val="Heading1"/>
      </w:pPr>
      <w:r>
        <w:t xml:space="preserve">4. NOTES</w:t>
      </w:r>
    </w:p>
    <w:p>
      <w:pPr>
        <w:pStyle w:val="ListParagraph"/>
        <w:numPr>
          <w:ilvl w:val="0"/>
          <w:numId w:val="2"/>
        </w:numPr>
      </w:pPr>
      <w:r>
        <w:rPr>
          <w:b/>
          <w:bCs/>
        </w:rPr>
        <w:t xml:space="preserve">Royalty basis.</w:t>
      </w:r>
      <w:r>
        <w:t xml:space="preserve"> The royalty is calculated on the market value of the metals contained in the polymetallic nodules recovered from the license area, at 2 percent during the first five years of commercial production (DEEP Regulations, Annex I).</w:t>
      </w:r>
    </w:p>
    <w:p>
      <w:pPr>
        <w:pStyle w:val="ListParagraph"/>
        <w:numPr>
          <w:ilvl w:val="0"/>
          <w:numId w:val="2"/>
        </w:numPr>
      </w:pPr>
      <w:r>
        <w:rPr>
          <w:b/>
          <w:bCs/>
        </w:rPr>
        <w:t xml:space="preserve">Amounts withheld.</w:t>
      </w:r>
      <w:r>
        <w:t xml:space="preserve"> Market values are calculated from quarterly average market prices, as declared by PSSR. Royalty amounts have been provided to the Authority with each statement. PSSR has asked to withhold the prices and amounts from this production as commercially confidential (REEF Article 8).</w:t>
      </w:r>
    </w:p>
    <w:p>
      <w:pPr>
        <w:pStyle w:val="ListParagraph"/>
        <w:numPr>
          <w:ilvl w:val="0"/>
          <w:numId w:val="2"/>
        </w:numPr>
      </w:pPr>
      <w:r>
        <w:rPr>
          <w:b/>
          <w:bCs/>
        </w:rPr>
        <w:t xml:space="preserve">Tonnes and grades.</w:t>
      </w:r>
      <w:r>
        <w:t xml:space="preserve"> Nodules are dewatered on board the </w:t>
      </w:r>
      <w:r>
        <w:rPr>
          <w:i/>
          <w:iCs/>
        </w:rPr>
        <w:t xml:space="preserve">Green Dawn</w:t>
      </w:r>
      <w:r>
        <w:t xml:space="preserve"> and shipped for processing at the refinery of Glasholm Minerals Group (GMG). Dry tonnes are calculated from the measured moisture content, about 30 percent. Grades are averages of the assays of each shipment, made at the refinery.</w:t>
      </w:r>
    </w:p>
    <w:p>
      <w:pPr>
        <w:pStyle w:val="ListParagraph"/>
        <w:numPr>
          <w:ilvl w:val="0"/>
          <w:numId w:val="2"/>
        </w:numPr>
      </w:pPr>
      <w:r>
        <w:rPr>
          <w:b/>
          <w:bCs/>
        </w:rPr>
        <w:t xml:space="preserve">Rare earth elements.</w:t>
      </w:r>
      <w:r>
        <w:t xml:space="preserve"> Rare earth elements and yttrium have been recovered from the first year of production, and recovery capacity is being expanded as planned.</w:t>
      </w:r>
    </w:p>
    <w:p>
      <w:pPr>
        <w:pStyle w:val="ListParagraph"/>
        <w:numPr>
          <w:ilvl w:val="0"/>
          <w:numId w:val="2"/>
        </w:numPr>
      </w:pPr>
      <w:r>
        <w:rPr>
          <w:b/>
          <w:bCs/>
        </w:rPr>
        <w:t xml:space="preserve">Year 3, fourth quarter.</w:t>
      </w:r>
      <w:r>
        <w:t xml:space="preserve"> There was no production from Day −1 to Day 4 (storm suspension, repair of the riser and post-storm inspection). Production resumed on Day 4. It stopped under the Secretary-General's order of Day 41, and the shutdown was completed on Day 42. There has been no production since.</w:t>
      </w:r>
    </w:p>
    <w:p>
      <w:pPr>
        <w:spacing w:after="160" w:before="200"/>
      </w:pPr>
      <w:r>
        <w:rPr>
          <w:i/>
          <w:iCs/>
        </w:rPr>
        <w:t xml:space="preserve">Submitted on behalf of Patna Surat Sea Resources.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Production Records and Royalty Statements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Production Records and Royalty Statements</dc:title>
  <dc:subject>POLS 369 Mock Trial 2 — The Black Tide</dc:subject>
  <dc:creator>POLS 369 Mock Trial</dc:creator>
  <dc:description>Production Records and Royalty Statements</dc:description>
  <cp:lastModifiedBy>POLS 369 Mock Trial</cp:lastModifiedBy>
  <cp:revision>1</cp:revision>
  <dcterms:created xsi:type="dcterms:W3CDTF">2026-11-03T21:49:22.348Z</dcterms:created>
  <dcterms:modified xsi:type="dcterms:W3CDTF">2026-11-03T21:49:22.348Z</dcterms:modified>
  <dc:language>en-US</dc:language>
</cp:coreProperties>
</file>

<file path=docProps/custom.xml><?xml version="1.0" encoding="utf-8"?>
<Properties xmlns="http://schemas.openxmlformats.org/officeDocument/2006/custom-properties" xmlns:vt="http://schemas.openxmlformats.org/officeDocument/2006/docPropsVTypes"/>
</file>